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ascii="Times New Roman" w:hAnsi="Times New Roman" w:cs="Times New Roman"/>
        </w:rPr>
      </w:pPr>
    </w:p>
    <w:p>
      <w:pPr>
        <w:pStyle w:val="129"/>
        <w:spacing w:before="156" w:after="156"/>
        <w:ind w:firstLineChars="0"/>
        <w:rPr>
          <w:rFonts w:ascii="Times New Roman" w:hAnsi="Times New Roman"/>
          <w:color w:val="auto"/>
        </w:rPr>
      </w:pPr>
      <w:r>
        <w:rPr>
          <w:rFonts w:hint="eastAsia" w:ascii="Times New Roman" w:hAnsi="Times New Roman"/>
          <w:color w:val="auto"/>
        </w:rPr>
        <w:t>雷电防护基础知识题库</w:t>
      </w:r>
    </w:p>
    <w:p>
      <w:pPr>
        <w:pStyle w:val="129"/>
        <w:spacing w:before="156" w:after="156"/>
        <w:ind w:firstLineChars="0"/>
        <w:rPr>
          <w:rFonts w:ascii="Times New Roman" w:hAnsi="Times New Roman"/>
          <w:color w:val="auto"/>
        </w:rPr>
      </w:pPr>
      <w:r>
        <w:rPr>
          <w:rFonts w:hint="eastAsia" w:ascii="Times New Roman" w:hAnsi="Times New Roman"/>
          <w:color w:val="auto"/>
        </w:rPr>
        <w:t>（法律法规部分）</w:t>
      </w:r>
    </w:p>
    <w:p>
      <w:pPr>
        <w:pStyle w:val="137"/>
        <w:spacing w:before="156"/>
        <w:rPr>
          <w:rFonts w:ascii="Times New Roman" w:hAnsi="Times New Roman"/>
        </w:rPr>
      </w:pPr>
      <w:bookmarkStart w:id="0" w:name="_Toc36220929"/>
      <w:bookmarkStart w:id="1" w:name="_Toc26455964"/>
      <w:bookmarkStart w:id="2" w:name="_Toc25938011"/>
      <w:bookmarkStart w:id="3" w:name="_Toc25937883"/>
      <w:r>
        <w:rPr>
          <w:rFonts w:hint="eastAsia" w:ascii="Times New Roman" w:hAnsi="Times New Roman"/>
        </w:rPr>
        <w:t>一 单选题</w:t>
      </w:r>
      <w:bookmarkEnd w:id="0"/>
      <w:bookmarkEnd w:id="1"/>
      <w:bookmarkEnd w:id="2"/>
      <w:bookmarkEnd w:id="3"/>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《中华人民共和国气象法》于（）开始正式实施。</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A.1999</w:t>
      </w:r>
      <w:r>
        <w:rPr>
          <w:rFonts w:hint="eastAsia" w:ascii="Times New Roman" w:hAnsi="Times New Roman" w:cs="Times New Roman"/>
        </w:rPr>
        <w:t>年</w:t>
      </w:r>
      <w:r>
        <w:rPr>
          <w:rFonts w:ascii="Times New Roman" w:hAnsi="Times New Roman" w:cs="Times New Roman"/>
        </w:rPr>
        <w:t>10</w:t>
      </w:r>
      <w:r>
        <w:rPr>
          <w:rFonts w:hint="eastAsia" w:ascii="Times New Roman" w:hAnsi="Times New Roman" w:cs="Times New Roman"/>
        </w:rPr>
        <w:t>月</w:t>
      </w:r>
      <w:r>
        <w:rPr>
          <w:rFonts w:ascii="Times New Roman" w:hAnsi="Times New Roman" w:cs="Times New Roman"/>
        </w:rPr>
        <w:t>31</w:t>
      </w:r>
      <w:r>
        <w:rPr>
          <w:rFonts w:hint="eastAsia" w:ascii="Times New Roman" w:hAnsi="Times New Roman" w:cs="Times New Roman"/>
        </w:rPr>
        <w:t>日</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B.1999</w:t>
      </w:r>
      <w:r>
        <w:rPr>
          <w:rFonts w:hint="eastAsia" w:ascii="Times New Roman" w:hAnsi="Times New Roman" w:cs="Times New Roman"/>
        </w:rPr>
        <w:t>年</w:t>
      </w:r>
      <w:r>
        <w:rPr>
          <w:rFonts w:ascii="Times New Roman" w:hAnsi="Times New Roman" w:cs="Times New Roman"/>
        </w:rPr>
        <w:t>5</w:t>
      </w:r>
      <w:r>
        <w:rPr>
          <w:rFonts w:hint="eastAsia" w:ascii="Times New Roman" w:hAnsi="Times New Roman" w:cs="Times New Roman"/>
        </w:rPr>
        <w:t>月</w:t>
      </w:r>
      <w:r>
        <w:rPr>
          <w:rFonts w:ascii="Times New Roman" w:hAnsi="Times New Roman" w:cs="Times New Roman"/>
        </w:rPr>
        <w:t>18</w:t>
      </w:r>
      <w:r>
        <w:rPr>
          <w:rFonts w:hint="eastAsia" w:ascii="Times New Roman" w:hAnsi="Times New Roman" w:cs="Times New Roman"/>
        </w:rPr>
        <w:t>日</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C.2000</w:t>
      </w:r>
      <w:r>
        <w:rPr>
          <w:rFonts w:hint="eastAsia" w:ascii="Times New Roman" w:hAnsi="Times New Roman" w:cs="Times New Roman"/>
        </w:rPr>
        <w:t>年</w:t>
      </w:r>
      <w:r>
        <w:rPr>
          <w:rFonts w:ascii="Times New Roman" w:hAnsi="Times New Roman" w:cs="Times New Roman"/>
        </w:rPr>
        <w:t>1</w:t>
      </w:r>
      <w:r>
        <w:rPr>
          <w:rFonts w:hint="eastAsia" w:ascii="Times New Roman" w:hAnsi="Times New Roman" w:cs="Times New Roman"/>
        </w:rPr>
        <w:t>月</w:t>
      </w:r>
      <w:r>
        <w:rPr>
          <w:rFonts w:ascii="Times New Roman" w:hAnsi="Times New Roman" w:cs="Times New Roman"/>
        </w:rPr>
        <w:t>1</w:t>
      </w:r>
      <w:r>
        <w:rPr>
          <w:rFonts w:hint="eastAsia" w:ascii="Times New Roman" w:hAnsi="Times New Roman" w:cs="Times New Roman"/>
        </w:rPr>
        <w:t>日</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D.2000</w:t>
      </w:r>
      <w:r>
        <w:rPr>
          <w:rFonts w:hint="eastAsia" w:ascii="Times New Roman" w:hAnsi="Times New Roman" w:cs="Times New Roman"/>
        </w:rPr>
        <w:t>年</w:t>
      </w:r>
      <w:r>
        <w:rPr>
          <w:rFonts w:ascii="Times New Roman" w:hAnsi="Times New Roman" w:cs="Times New Roman"/>
        </w:rPr>
        <w:t xml:space="preserve">3 </w:t>
      </w:r>
      <w:r>
        <w:rPr>
          <w:rFonts w:hint="eastAsia" w:ascii="Times New Roman" w:hAnsi="Times New Roman" w:cs="Times New Roman"/>
        </w:rPr>
        <w:t>月</w:t>
      </w:r>
      <w:r>
        <w:rPr>
          <w:rFonts w:ascii="Times New Roman" w:hAnsi="Times New Roman" w:cs="Times New Roman"/>
        </w:rPr>
        <w:t>1</w:t>
      </w:r>
      <w:r>
        <w:rPr>
          <w:rFonts w:hint="eastAsia" w:ascii="Times New Roman" w:hAnsi="Times New Roman" w:cs="Times New Roman"/>
        </w:rPr>
        <w:t>日</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C</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：《中华人民共和国气象法》第四十五条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我国现行哪一部法律，明确规定了雷电灾害防御工作的组织管理部门是各级气象主管机构？（）</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《中华人民共和国安全生产法》</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《中华人民共和国质量法》</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《防雷减灾管理办法》</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rPr>
        <w:t>《中华人民共和国气象法》</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D</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：《中华人民共和国气象法》第五章第三十一条（题干限定为法律，所以</w:t>
      </w:r>
      <w:r>
        <w:rPr>
          <w:rFonts w:ascii="Times New Roman" w:hAnsi="Times New Roman" w:cs="Times New Roman"/>
        </w:rPr>
        <w:t>C</w:t>
      </w:r>
      <w:r>
        <w:rPr>
          <w:rFonts w:hint="eastAsia" w:ascii="Times New Roman" w:hAnsi="Times New Roman" w:cs="Times New Roman"/>
        </w:rPr>
        <w:t>项排除）</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《气象灾害防御条例》规定，（）安装雷电防护装置应当符合国家有关防雷标准的规定。</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各类建筑物</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各类场所</w:t>
      </w:r>
      <w:r>
        <w:rPr>
          <w:rFonts w:ascii="Times New Roman" w:hAnsi="Times New Roman" w:eastAsia="宋体" w:cs="Times New Roman"/>
          <w:sz w:val="24"/>
          <w:szCs w:val="24"/>
        </w:rPr>
        <w:tab/>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各类建（构）筑物、场所和设施</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各类场所和设施</w:t>
      </w:r>
    </w:p>
    <w:p>
      <w:pPr>
        <w:spacing w:line="400" w:lineRule="exact"/>
        <w:ind w:firstLine="480" w:firstLineChars="200"/>
        <w:jc w:val="left"/>
        <w:rPr>
          <w:rFonts w:ascii="Times New Roman" w:hAnsi="Times New Roman" w:cs="Times New Roman"/>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kern w:val="0"/>
          <w:sz w:val="24"/>
          <w:szCs w:val="24"/>
        </w:rPr>
        <w:t>C</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《气象灾害防御条例》第二十三条第一款</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《气象灾害防御条例》规定，油库、气库、弹药库、化学品仓库和烟花爆竹、石化等易燃易爆建设工程和场所，雷电易发区内的矿区、旅游景点或者投入使用的建</w:t>
      </w:r>
      <w:r>
        <w:rPr>
          <w:rFonts w:ascii="Times New Roman" w:hAnsi="Times New Roman" w:cs="Times New Roman"/>
        </w:rPr>
        <w:t>(</w:t>
      </w:r>
      <w:r>
        <w:rPr>
          <w:rFonts w:hint="eastAsia" w:ascii="Times New Roman" w:hAnsi="Times New Roman" w:cs="Times New Roman"/>
        </w:rPr>
        <w:t>构</w:t>
      </w:r>
      <w:r>
        <w:rPr>
          <w:rFonts w:ascii="Times New Roman" w:hAnsi="Times New Roman" w:cs="Times New Roman"/>
        </w:rPr>
        <w:t>)</w:t>
      </w:r>
      <w:r>
        <w:rPr>
          <w:rFonts w:hint="eastAsia" w:ascii="Times New Roman" w:hAnsi="Times New Roman" w:cs="Times New Roman"/>
        </w:rPr>
        <w:t>筑物、设施等需要单独安装雷电防护装置的场所，以及雷电风险高且没有防雷标准规范、需要进行特殊论证的大型项目，其雷电防护装置的设计审核和竣工验收由（）负责。</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部门经理</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技术负责人</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公司经理</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rPr>
        <w:t>县级以上地方气象主管机构</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D</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：《气象灾害防御条例》第二十三条第三款</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防雷装置实行（）制度。</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定期检测　　</w:t>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不定期抽测　　</w:t>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hint="eastAsia" w:ascii="Times New Roman" w:hAnsi="Times New Roman" w:cs="Times New Roman"/>
        </w:rPr>
        <w:t>五年一次检测</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A</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：《防雷减灾管理办法》第十九条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《防雷减灾管理办法》中规定，应当安装防雷装置而拒不安装的可以处（）以下罚款。</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A.1</w:t>
      </w:r>
      <w:r>
        <w:rPr>
          <w:rFonts w:hint="eastAsia" w:ascii="Times New Roman" w:hAnsi="Times New Roman" w:cs="Times New Roman"/>
        </w:rPr>
        <w:t>万元以下</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B.1</w:t>
      </w:r>
      <w:r>
        <w:rPr>
          <w:rFonts w:hint="eastAsia" w:ascii="Times New Roman" w:hAnsi="Times New Roman" w:cs="Times New Roman"/>
        </w:rPr>
        <w:t>万元以上</w:t>
      </w:r>
      <w:r>
        <w:rPr>
          <w:rFonts w:ascii="Times New Roman" w:hAnsi="Times New Roman" w:cs="Times New Roman"/>
        </w:rPr>
        <w:t>3</w:t>
      </w:r>
      <w:r>
        <w:rPr>
          <w:rFonts w:hint="eastAsia" w:ascii="Times New Roman" w:hAnsi="Times New Roman" w:cs="Times New Roman"/>
        </w:rPr>
        <w:t>万元以下</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C.5</w:t>
      </w:r>
      <w:r>
        <w:rPr>
          <w:rFonts w:hint="eastAsia" w:ascii="Times New Roman" w:hAnsi="Times New Roman" w:cs="Times New Roman"/>
        </w:rPr>
        <w:t>万元以下</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D.5</w:t>
      </w:r>
      <w:r>
        <w:rPr>
          <w:rFonts w:hint="eastAsia" w:ascii="Times New Roman" w:hAnsi="Times New Roman" w:cs="Times New Roman"/>
        </w:rPr>
        <w:t>万元以上</w:t>
      </w:r>
      <w:r>
        <w:rPr>
          <w:rFonts w:ascii="Times New Roman" w:hAnsi="Times New Roman" w:cs="Times New Roman"/>
        </w:rPr>
        <w:t>10</w:t>
      </w:r>
      <w:r>
        <w:rPr>
          <w:rFonts w:hint="eastAsia" w:ascii="Times New Roman" w:hAnsi="Times New Roman" w:cs="Times New Roman"/>
        </w:rPr>
        <w:t>万元以下</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B</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：《防雷减灾管理办法》第三十五条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投入使用后的防雷装置实行（）制度。</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检查校对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定期检测</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监督检查</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rPr>
        <w:t>安全检查</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B</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：《防雷减灾管理办法》第十九条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根据《防雷减灾管理办法》规定，防雷装置实行竣工验收制度，未取得验收合格文件的防雷装置，（）。</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整改后使用</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重新申请审核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可以更换</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rPr>
        <w:t>不得投入使用</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D</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：《防雷减灾管理办法》第十七条第三款</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遭受雷电灾害的单位和个人，应当配合气象主管机构做好雷电灾害的（）工作。</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财产损失</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数据统计</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人员伤亡</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rPr>
        <w:t>调查与鉴定</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D</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：《防雷减灾管理办法》第二十四条第二款</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bCs/>
        </w:rPr>
      </w:pPr>
      <w:r>
        <w:rPr>
          <w:rFonts w:hint="eastAsia" w:ascii="Times New Roman" w:hAnsi="Times New Roman" w:cs="Times New Roman"/>
          <w:bCs/>
        </w:rPr>
        <w:t>已有防雷装置，拒绝进行检测或者经检测不合格又拒不整改的，由县级以上气象主管机构按照权限责令整改，给与警告，可以处</w:t>
      </w:r>
      <w:r>
        <w:rPr>
          <w:rFonts w:ascii="Times New Roman" w:hAnsi="Times New Roman" w:cs="Times New Roman"/>
          <w:bCs/>
        </w:rPr>
        <w:t>1</w:t>
      </w:r>
      <w:r>
        <w:rPr>
          <w:rFonts w:hint="eastAsia" w:ascii="Times New Roman" w:hAnsi="Times New Roman" w:cs="Times New Roman"/>
          <w:bCs/>
        </w:rPr>
        <w:t>万元以上</w:t>
      </w:r>
      <w:r>
        <w:rPr>
          <w:rFonts w:hint="eastAsia" w:ascii="Times New Roman" w:hAnsi="Times New Roman" w:cs="Times New Roman"/>
        </w:rPr>
        <w:t>（）元</w:t>
      </w:r>
      <w:r>
        <w:rPr>
          <w:rFonts w:hint="eastAsia" w:ascii="Times New Roman" w:hAnsi="Times New Roman" w:cs="Times New Roman"/>
          <w:bCs/>
        </w:rPr>
        <w:t>以下罚款。</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A.5</w:t>
      </w:r>
      <w:r>
        <w:rPr>
          <w:rFonts w:hint="eastAsia" w:ascii="Times New Roman" w:hAnsi="Times New Roman" w:cs="Times New Roman"/>
        </w:rPr>
        <w:t>万</w:t>
      </w:r>
      <w:r>
        <w:rPr>
          <w:rFonts w:ascii="Times New Roman" w:hAnsi="Times New Roman" w:cs="Times New Roman"/>
        </w:rPr>
        <w:tab/>
      </w:r>
      <w:r>
        <w:rPr>
          <w:rFonts w:hint="eastAsia" w:ascii="Times New Roman" w:hAnsi="Times New Roman" w:cs="Times New Roman"/>
        </w:rPr>
        <w:t xml:space="preserve">     </w:t>
      </w:r>
      <w:r>
        <w:rPr>
          <w:rFonts w:ascii="Times New Roman" w:hAnsi="Times New Roman" w:cs="Times New Roman"/>
        </w:rPr>
        <w:t>B.3</w:t>
      </w:r>
      <w:r>
        <w:rPr>
          <w:rFonts w:hint="eastAsia" w:ascii="Times New Roman" w:hAnsi="Times New Roman" w:cs="Times New Roman"/>
        </w:rPr>
        <w:t>万</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C.2</w:t>
      </w:r>
      <w:r>
        <w:rPr>
          <w:rFonts w:hint="eastAsia" w:ascii="Times New Roman" w:hAnsi="Times New Roman" w:cs="Times New Roman"/>
        </w:rPr>
        <w:t>万</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D.1</w:t>
      </w:r>
      <w:r>
        <w:rPr>
          <w:rFonts w:hint="eastAsia" w:ascii="Times New Roman" w:hAnsi="Times New Roman" w:cs="Times New Roman"/>
        </w:rPr>
        <w:t>万</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B</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：《防雷减灾管理办法》第三十五条第三款</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bCs/>
        </w:rPr>
      </w:pPr>
      <w:r>
        <w:rPr>
          <w:rFonts w:hint="eastAsia" w:ascii="Times New Roman" w:hAnsi="Times New Roman" w:cs="Times New Roman"/>
        </w:rPr>
        <w:t>各级</w:t>
      </w:r>
      <w:r>
        <w:rPr>
          <w:rFonts w:hint="eastAsia" w:ascii="Times New Roman" w:hAnsi="Times New Roman" w:cs="Times New Roman"/>
          <w:bCs/>
        </w:rPr>
        <w:t>气象主管机构应当加强雷电灾害</w:t>
      </w:r>
      <w:r>
        <w:rPr>
          <w:rFonts w:hint="eastAsia" w:ascii="Times New Roman" w:hAnsi="Times New Roman" w:cs="Times New Roman"/>
        </w:rPr>
        <w:t>（）</w:t>
      </w:r>
      <w:r>
        <w:rPr>
          <w:rFonts w:hint="eastAsia" w:ascii="Times New Roman" w:hAnsi="Times New Roman" w:cs="Times New Roman"/>
          <w:bCs/>
        </w:rPr>
        <w:t>的建设工作，提高雷电灾害预警和防雷减灾服务能力。</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预警系统</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监测系统</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网络系统</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rPr>
        <w:t>防御系统</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A</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：《防雷减灾管理办法》第八条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气象主管机构进行防雷装置检测单位资质认定、防雷装置设计审核和竣工验收等行政许可事项，不得收取（）。</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评审费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工本费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任何费用</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rPr>
        <w:t>技术评和价检测费</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C</w:t>
      </w:r>
    </w:p>
    <w:p>
      <w:pPr>
        <w:pStyle w:val="28"/>
        <w:spacing w:before="0" w:beforeAutospacing="0" w:after="0" w:afterAutospacing="0" w:line="400" w:lineRule="exact"/>
        <w:ind w:left="48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：《气象行政许可实施办法》第四十三条第一款</w:t>
      </w:r>
      <w:r>
        <w:rPr>
          <w:rFonts w:ascii="Times New Roman" w:hAnsi="Times New Roman" w:cs="Times New Roman"/>
        </w:rPr>
        <w:t xml:space="preserve"> </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根据《雷电防护装置检测资质管理办法》规定，申报防雷装置检测甲级资质单位的高级技术职称人员，不少于（）。</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一名</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二名</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hint="eastAsia" w:ascii="Times New Roman" w:hAnsi="Times New Roman" w:cs="Times New Roman"/>
        </w:rPr>
        <w:t>三名</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rPr>
        <w:t>四名</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B</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：《雷电防护装置检测资质管理办法》第八条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根据《雷电防护装置检测资质管理办法》规定，申报防雷装置检测乙级资质单位的高级技术职称人员，不少于（）。</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一名</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二名</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hint="eastAsia" w:ascii="Times New Roman" w:hAnsi="Times New Roman" w:cs="Times New Roman"/>
        </w:rPr>
        <w:t>三名</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rPr>
        <w:t>四名</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A</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：《雷电防护装置检测资质管理办法》第九条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根据《雷电防护装置检测资质管理办法》规定，申报防雷装置检测甲级资质单位的中级技术职称人员，不少于（）。</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一名</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二名</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hint="eastAsia" w:ascii="Times New Roman" w:hAnsi="Times New Roman" w:cs="Times New Roman"/>
        </w:rPr>
        <w:t>四名</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rPr>
        <w:t>六名</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D</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：《雷电防护装置检测资质管理办法》第八条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根据《雷电防护装置检测资质管理办法》规定，申报防雷装置检测乙级资质单位的中级技术职称人员，不少于（）。</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一名</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二名</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hint="eastAsia" w:ascii="Times New Roman" w:hAnsi="Times New Roman" w:cs="Times New Roman"/>
        </w:rPr>
        <w:t>三名</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rPr>
        <w:t>四名</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C</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：《雷电防护装置检测资质管理办法》第九条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根据《雷电防护装置检测资质管理办法》规定，取得乙级资质（）以上，才能申报甲级资质。</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一年</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两年</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hint="eastAsia" w:ascii="Times New Roman" w:hAnsi="Times New Roman" w:cs="Times New Roman"/>
        </w:rPr>
        <w:t>三年</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rPr>
        <w:t>五年</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C</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：《雷电防护装置检测资质管理办法》第八条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取得甲级检测资质的单位，可以从事《建筑物防雷设计规范》规定的（）建（构）筑物的防雷装置检测活动。</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第一类</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第二类</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hint="eastAsia" w:ascii="Times New Roman" w:hAnsi="Times New Roman" w:cs="Times New Roman"/>
        </w:rPr>
        <w:t>第三类</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rPr>
        <w:t>都可以</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D</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：《雷电防护装置检测资质管理办法》第四条第二款</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取得乙级检测资质的单位，可以从事《建筑物防雷设计规范》规定的（）建（构）筑物的防雷装置检测活动。</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第一类</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第二类</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hint="eastAsia" w:ascii="Times New Roman" w:hAnsi="Times New Roman" w:cs="Times New Roman"/>
        </w:rPr>
        <w:t>第三类</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rPr>
        <w:t>都可以</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C</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：《雷电防护装置检测资质管理办法》第四条第三款</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省、自治区、直辖市气象主管机构应当对本行政区域内取得防雷装置检测资质的单位建立（）制度，将防雷装置检测活动和监督管理等信息纳入信用档案，并作为资质延续、升级的依据。</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资质管理</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质量管理</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安全管理</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信用管理</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D</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《雷电防护装置检测资质管理办法》第二十九条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省、自治区、直辖市气象主管机构应当组织或委托（）对防雷装置检测单位的检测质量进行考核。</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气象局下属机构</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气象局指定机构</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与主管机构有业务关系的机构</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第三方专业技术机构</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D</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《雷电防护装置检测资质管理办法》第二十六条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取得防雷装置检测资质的单位在资质证有效期内名称、地址、法定代表人等发生变更的，应当在法人资格管理部门变更登记后（）工作日内，向原资质认定机构申请办理资质证变更手续。</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十个</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五个</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C.</w:t>
      </w:r>
      <w:r>
        <w:rPr>
          <w:rFonts w:hint="eastAsia" w:ascii="Times New Roman" w:hAnsi="Times New Roman" w:eastAsia="宋体" w:cs="Times New Roman"/>
          <w:kern w:val="0"/>
          <w:sz w:val="24"/>
          <w:szCs w:val="24"/>
        </w:rPr>
        <w:t>三十个</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D.</w:t>
      </w:r>
      <w:r>
        <w:rPr>
          <w:rFonts w:hint="eastAsia" w:ascii="Times New Roman" w:hAnsi="Times New Roman" w:eastAsia="宋体" w:cs="Times New Roman"/>
          <w:sz w:val="24"/>
          <w:szCs w:val="24"/>
        </w:rPr>
        <w:t>二十个</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C</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：《雷电防护装置检测资质管理办法》第二十二条第一款</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《防雷装置检测资质证》分正本和副本，由（）统一印制。</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气象局</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地市级气象局</w:t>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pacing w:val="-20"/>
          <w:sz w:val="24"/>
          <w:szCs w:val="24"/>
        </w:rPr>
        <w:t>国务院气象主管机构</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省级气象主管机构</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C</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：《雷电防护装置检测资质管理办法》第五条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在处理防雷检测资质申报事务中，省、自治区、直辖市气象主管机构应当在收到全部申请材料之日起（）工作日内作出是否受理的决定。</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三</w:t>
      </w:r>
      <w:r>
        <w:rPr>
          <w:rFonts w:hint="eastAsia" w:ascii="Times New Roman" w:hAnsi="Times New Roman" w:eastAsia="宋体" w:cs="Times New Roman"/>
          <w:kern w:val="0"/>
          <w:sz w:val="24"/>
          <w:szCs w:val="24"/>
        </w:rPr>
        <w:t>个</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五</w:t>
      </w:r>
      <w:r>
        <w:rPr>
          <w:rFonts w:hint="eastAsia" w:ascii="Times New Roman" w:hAnsi="Times New Roman" w:eastAsia="宋体" w:cs="Times New Roman"/>
          <w:kern w:val="0"/>
          <w:sz w:val="24"/>
          <w:szCs w:val="24"/>
        </w:rPr>
        <w:t>个</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C.</w:t>
      </w:r>
      <w:r>
        <w:rPr>
          <w:rFonts w:hint="eastAsia" w:ascii="Times New Roman" w:hAnsi="Times New Roman" w:eastAsia="宋体" w:cs="Times New Roman"/>
          <w:sz w:val="24"/>
          <w:szCs w:val="24"/>
        </w:rPr>
        <w:t>七</w:t>
      </w:r>
      <w:r>
        <w:rPr>
          <w:rFonts w:hint="eastAsia" w:ascii="Times New Roman" w:hAnsi="Times New Roman" w:eastAsia="宋体" w:cs="Times New Roman"/>
          <w:kern w:val="0"/>
          <w:sz w:val="24"/>
          <w:szCs w:val="24"/>
        </w:rPr>
        <w:t>个</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十</w:t>
      </w:r>
      <w:r>
        <w:rPr>
          <w:rFonts w:hint="eastAsia" w:ascii="Times New Roman" w:hAnsi="Times New Roman" w:eastAsia="宋体" w:cs="Times New Roman"/>
          <w:kern w:val="0"/>
          <w:sz w:val="24"/>
          <w:szCs w:val="24"/>
        </w:rPr>
        <w:t>个</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B</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：《雷电防护装置检测资质管理办法》第十三条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省、自治区、直辖市气象主管机构受理后，应当委托防雷装置检测资质评审委员会评审，并对评审结果进行审查。评审委员会评审时应当以（）投票方式进行表决，并提出评审意见。</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不记名</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记名</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C.</w:t>
      </w:r>
      <w:r>
        <w:rPr>
          <w:rFonts w:hint="eastAsia" w:ascii="Times New Roman" w:hAnsi="Times New Roman" w:eastAsia="宋体" w:cs="Times New Roman"/>
          <w:sz w:val="24"/>
          <w:szCs w:val="24"/>
        </w:rPr>
        <w:t>无限制</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匿名</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B</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：《雷电防护装置检测资质管理办法》第十五条第一款</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防雷装置检测资质评审委员会的委员应当从评审专家库中（）抽取确定，并报国务院气象主管机构备案。</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随意</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随机</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C.</w:t>
      </w:r>
      <w:r>
        <w:rPr>
          <w:rFonts w:hint="eastAsia" w:ascii="Times New Roman" w:hAnsi="Times New Roman" w:eastAsia="宋体" w:cs="Times New Roman"/>
          <w:sz w:val="24"/>
          <w:szCs w:val="24"/>
        </w:rPr>
        <w:t>选择</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按职称顺序</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B</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：《雷电防护装置检测资质管理办法》第十五条第三款</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通过防雷装置检测资质认定的，认定机构颁发《防雷装置检测资质证》，并在作出认定后（）个工作日内报国务院气象主管机构备案。</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十个</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十五个</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C.</w:t>
      </w:r>
      <w:r>
        <w:rPr>
          <w:rFonts w:hint="eastAsia" w:ascii="Times New Roman" w:hAnsi="Times New Roman" w:eastAsia="宋体" w:cs="Times New Roman"/>
          <w:sz w:val="24"/>
          <w:szCs w:val="24"/>
        </w:rPr>
        <w:t>二十个</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三十个</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D</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：《雷电防护装置检测资质管理办法》第十六条第二款</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经过防雷装置检测资质评审委员会评审，未通过认定的，认定机构在（）工作日内书面告知申请单位，并说明理由。</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十个</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十五个</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C.</w:t>
      </w:r>
      <w:r>
        <w:rPr>
          <w:rFonts w:hint="eastAsia" w:ascii="Times New Roman" w:hAnsi="Times New Roman" w:eastAsia="宋体" w:cs="Times New Roman"/>
          <w:sz w:val="24"/>
          <w:szCs w:val="24"/>
        </w:rPr>
        <w:t>二十个</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三十个</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A</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：《雷电防护装置检测资质管理办法》第十六条第三款</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防雷装置检测资质管理实行（）制度。</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定期检测</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不定期检测</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C.</w:t>
      </w:r>
      <w:r>
        <w:rPr>
          <w:rFonts w:hint="eastAsia" w:ascii="Times New Roman" w:hAnsi="Times New Roman" w:eastAsia="宋体" w:cs="Times New Roman"/>
          <w:sz w:val="24"/>
          <w:szCs w:val="24"/>
        </w:rPr>
        <w:t>年度报告</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随机抽查</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C</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：《雷电防护装置检测资质管理办法》第二十条第一款</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防雷装置检测单位应当从取得资质证后次年起，在每年的第（）向资质认定机构报送年度报告。</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一</w:t>
      </w:r>
      <w:r>
        <w:rPr>
          <w:rFonts w:hint="eastAsia" w:ascii="Times New Roman" w:hAnsi="Times New Roman" w:eastAsia="宋体" w:cs="Times New Roman"/>
          <w:kern w:val="0"/>
          <w:sz w:val="24"/>
          <w:szCs w:val="24"/>
        </w:rPr>
        <w:t>季度</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二</w:t>
      </w:r>
      <w:r>
        <w:rPr>
          <w:rFonts w:hint="eastAsia" w:ascii="Times New Roman" w:hAnsi="Times New Roman" w:eastAsia="宋体" w:cs="Times New Roman"/>
          <w:kern w:val="0"/>
          <w:sz w:val="24"/>
          <w:szCs w:val="24"/>
        </w:rPr>
        <w:t>季度</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C.</w:t>
      </w:r>
      <w:r>
        <w:rPr>
          <w:rFonts w:hint="eastAsia" w:ascii="Times New Roman" w:hAnsi="Times New Roman" w:eastAsia="宋体" w:cs="Times New Roman"/>
          <w:sz w:val="24"/>
          <w:szCs w:val="24"/>
        </w:rPr>
        <w:t>三</w:t>
      </w:r>
      <w:r>
        <w:rPr>
          <w:rFonts w:hint="eastAsia" w:ascii="Times New Roman" w:hAnsi="Times New Roman" w:eastAsia="宋体" w:cs="Times New Roman"/>
          <w:kern w:val="0"/>
          <w:sz w:val="24"/>
          <w:szCs w:val="24"/>
        </w:rPr>
        <w:t>季度</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四</w:t>
      </w:r>
      <w:r>
        <w:rPr>
          <w:rFonts w:hint="eastAsia" w:ascii="Times New Roman" w:hAnsi="Times New Roman" w:eastAsia="宋体" w:cs="Times New Roman"/>
          <w:kern w:val="0"/>
          <w:sz w:val="24"/>
          <w:szCs w:val="24"/>
        </w:rPr>
        <w:t>季度</w:t>
      </w:r>
    </w:p>
    <w:p>
      <w:pPr>
        <w:spacing w:line="400" w:lineRule="exact"/>
        <w:ind w:firstLine="480" w:firstLineChars="200"/>
        <w:jc w:val="left"/>
        <w:rPr>
          <w:rFonts w:ascii="Times New Roman" w:hAnsi="Times New Roman" w:eastAsia="宋体" w:cs="Times New Roman"/>
          <w:kern w:val="0"/>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kern w:val="0"/>
          <w:sz w:val="24"/>
          <w:szCs w:val="24"/>
        </w:rPr>
        <w:t>B</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《雷电防护装置检测资质管理办法》第二十条第二款</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取得防雷装置检测资质的单位，应当在资质证有效期满（）前，向原认定机构提出延续申请。</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一</w:t>
      </w:r>
      <w:r>
        <w:rPr>
          <w:rFonts w:hint="eastAsia" w:ascii="Times New Roman" w:hAnsi="Times New Roman" w:eastAsia="宋体" w:cs="Times New Roman"/>
          <w:kern w:val="0"/>
          <w:sz w:val="24"/>
          <w:szCs w:val="24"/>
        </w:rPr>
        <w:t>个月</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二</w:t>
      </w:r>
      <w:r>
        <w:rPr>
          <w:rFonts w:hint="eastAsia" w:ascii="Times New Roman" w:hAnsi="Times New Roman" w:eastAsia="宋体" w:cs="Times New Roman"/>
          <w:kern w:val="0"/>
          <w:sz w:val="24"/>
          <w:szCs w:val="24"/>
        </w:rPr>
        <w:t>个月</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C.</w:t>
      </w:r>
      <w:r>
        <w:rPr>
          <w:rFonts w:hint="eastAsia" w:ascii="Times New Roman" w:hAnsi="Times New Roman" w:eastAsia="宋体" w:cs="Times New Roman"/>
          <w:sz w:val="24"/>
          <w:szCs w:val="24"/>
        </w:rPr>
        <w:t>三</w:t>
      </w:r>
      <w:r>
        <w:rPr>
          <w:rFonts w:hint="eastAsia" w:ascii="Times New Roman" w:hAnsi="Times New Roman" w:eastAsia="宋体" w:cs="Times New Roman"/>
          <w:kern w:val="0"/>
          <w:sz w:val="24"/>
          <w:szCs w:val="24"/>
        </w:rPr>
        <w:t>个月</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四</w:t>
      </w:r>
      <w:r>
        <w:rPr>
          <w:rFonts w:hint="eastAsia" w:ascii="Times New Roman" w:hAnsi="Times New Roman" w:eastAsia="宋体" w:cs="Times New Roman"/>
          <w:kern w:val="0"/>
          <w:sz w:val="24"/>
          <w:szCs w:val="24"/>
        </w:rPr>
        <w:t>个月</w:t>
      </w:r>
    </w:p>
    <w:p>
      <w:pPr>
        <w:spacing w:line="400" w:lineRule="exact"/>
        <w:ind w:firstLine="480" w:firstLineChars="200"/>
        <w:jc w:val="left"/>
        <w:rPr>
          <w:rFonts w:ascii="Times New Roman" w:hAnsi="Times New Roman" w:eastAsia="宋体" w:cs="Times New Roman"/>
          <w:kern w:val="0"/>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kern w:val="0"/>
          <w:sz w:val="24"/>
          <w:szCs w:val="24"/>
        </w:rPr>
        <w:t>C</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《雷电防护装置检测资质管理办法》第二十一条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取得防雷装置检测资质的单位发生合并、分立以及注册地跨省、自治区、直辖市变更的，应当按照本办法规定的程序及时向所在地的省、自治区、直辖市气象主管机构（）资质。</w:t>
      </w:r>
    </w:p>
    <w:p>
      <w:pPr>
        <w:spacing w:line="400" w:lineRule="exact"/>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A.</w:t>
      </w:r>
      <w:r>
        <w:rPr>
          <w:rFonts w:hint="eastAsia" w:ascii="Times New Roman" w:hAnsi="Times New Roman" w:eastAsia="宋体" w:cs="Times New Roman"/>
          <w:kern w:val="0"/>
          <w:sz w:val="24"/>
          <w:szCs w:val="24"/>
        </w:rPr>
        <w:t>调整</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B.</w:t>
      </w:r>
      <w:r>
        <w:rPr>
          <w:rFonts w:hint="eastAsia" w:ascii="Times New Roman" w:hAnsi="Times New Roman" w:eastAsia="宋体" w:cs="Times New Roman"/>
          <w:kern w:val="0"/>
          <w:sz w:val="24"/>
          <w:szCs w:val="24"/>
        </w:rPr>
        <w:t>申请变更</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C.</w:t>
      </w:r>
      <w:r>
        <w:rPr>
          <w:rFonts w:hint="eastAsia" w:ascii="Times New Roman" w:hAnsi="Times New Roman" w:eastAsia="宋体" w:cs="Times New Roman"/>
          <w:kern w:val="0"/>
          <w:sz w:val="24"/>
          <w:szCs w:val="24"/>
        </w:rPr>
        <w:t>申请核定</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D.</w:t>
      </w:r>
      <w:r>
        <w:rPr>
          <w:rFonts w:hint="eastAsia" w:ascii="Times New Roman" w:hAnsi="Times New Roman" w:eastAsia="宋体" w:cs="Times New Roman"/>
          <w:kern w:val="0"/>
          <w:sz w:val="24"/>
          <w:szCs w:val="24"/>
        </w:rPr>
        <w:t>更换</w:t>
      </w:r>
    </w:p>
    <w:p>
      <w:pPr>
        <w:spacing w:line="400" w:lineRule="exact"/>
        <w:ind w:firstLine="480" w:firstLineChars="200"/>
        <w:jc w:val="left"/>
        <w:rPr>
          <w:rFonts w:ascii="Times New Roman" w:hAnsi="Times New Roman" w:eastAsia="宋体" w:cs="Times New Roman"/>
          <w:kern w:val="0"/>
          <w:sz w:val="24"/>
          <w:szCs w:val="24"/>
        </w:rPr>
      </w:pPr>
      <w:r>
        <w:rPr>
          <w:rFonts w:hint="eastAsia" w:ascii="Times New Roman" w:hAnsi="Times New Roman" w:eastAsia="黑体" w:cs="Times New Roman"/>
          <w:kern w:val="0"/>
          <w:sz w:val="24"/>
          <w:szCs w:val="24"/>
        </w:rPr>
        <w:t>答案</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C</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《雷电防护装置检测资质管理办法》第二十二条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bookmarkStart w:id="4" w:name="_Toc7359605"/>
      <w:r>
        <w:rPr>
          <w:rFonts w:hint="eastAsia" w:ascii="Times New Roman" w:hAnsi="Times New Roman" w:cs="Times New Roman"/>
        </w:rPr>
        <w:t>取得防雷装置检测资质的单位合并的，合并后存续或者新设立的单位可以承继合并前各方中</w:t>
      </w:r>
      <w:r>
        <w:rPr>
          <w:rFonts w:hint="eastAsia" w:ascii="Times New Roman" w:hAnsi="Times New Roman" w:cs="Times New Roman"/>
          <w:lang w:eastAsia="zh-CN"/>
        </w:rPr>
        <w:t>（）</w:t>
      </w:r>
      <w:r>
        <w:rPr>
          <w:rFonts w:hint="eastAsia" w:ascii="Times New Roman" w:hAnsi="Times New Roman" w:cs="Times New Roman"/>
        </w:rPr>
        <w:t>等级的资质，但应当符合相应的资质条件</w:t>
      </w:r>
      <w:bookmarkEnd w:id="4"/>
      <w:r>
        <w:rPr>
          <w:rFonts w:hint="eastAsia" w:ascii="Times New Roman" w:hAnsi="Times New Roman" w:cs="Times New Roman"/>
        </w:rPr>
        <w:t>。</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kern w:val="0"/>
          <w:sz w:val="24"/>
          <w:szCs w:val="24"/>
        </w:rPr>
        <w:t>A.</w:t>
      </w:r>
      <w:r>
        <w:rPr>
          <w:rFonts w:hint="eastAsia" w:ascii="Times New Roman" w:hAnsi="Times New Roman" w:eastAsia="宋体" w:cs="Times New Roman"/>
          <w:kern w:val="0"/>
          <w:sz w:val="24"/>
          <w:szCs w:val="24"/>
        </w:rPr>
        <w:t>较低</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B.</w:t>
      </w:r>
      <w:r>
        <w:rPr>
          <w:rFonts w:hint="eastAsia" w:ascii="Times New Roman" w:hAnsi="Times New Roman" w:eastAsia="宋体" w:cs="Times New Roman"/>
          <w:kern w:val="0"/>
          <w:sz w:val="24"/>
          <w:szCs w:val="24"/>
        </w:rPr>
        <w:t>较高</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C.</w:t>
      </w:r>
      <w:r>
        <w:rPr>
          <w:rFonts w:hint="eastAsia" w:ascii="Times New Roman" w:hAnsi="Times New Roman" w:eastAsia="宋体" w:cs="Times New Roman"/>
          <w:kern w:val="0"/>
          <w:sz w:val="24"/>
          <w:szCs w:val="24"/>
        </w:rPr>
        <w:t>所有</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相应</w:t>
      </w:r>
    </w:p>
    <w:p>
      <w:pPr>
        <w:spacing w:line="400" w:lineRule="exact"/>
        <w:ind w:firstLine="480" w:firstLineChars="200"/>
        <w:jc w:val="left"/>
        <w:rPr>
          <w:rFonts w:ascii="Times New Roman" w:hAnsi="Times New Roman" w:eastAsia="宋体" w:cs="Times New Roman"/>
          <w:kern w:val="0"/>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kern w:val="0"/>
          <w:sz w:val="24"/>
          <w:szCs w:val="24"/>
        </w:rPr>
        <w:t>B</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《雷电防护装置检测资质管理办法》第二十二条第二款</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取得防雷装置检测资质的单位达不到防雷装置检测资质条件的，由原资质认定的气象主管机构责令限期整改，整改后仍达不到资质条件的，予以（）。</w:t>
      </w:r>
    </w:p>
    <w:p>
      <w:pPr>
        <w:pStyle w:val="28"/>
        <w:spacing w:before="0" w:beforeAutospacing="0" w:after="0" w:afterAutospacing="0" w:line="400" w:lineRule="exact"/>
        <w:ind w:left="48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降低等级或撤销资质</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吊销资质</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pStyle w:val="28"/>
        <w:spacing w:before="0" w:beforeAutospacing="0" w:after="0" w:afterAutospacing="0" w:line="400" w:lineRule="exact"/>
        <w:ind w:left="48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注销</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rPr>
        <w:t>新注册</w:t>
      </w:r>
    </w:p>
    <w:p>
      <w:pPr>
        <w:spacing w:line="400" w:lineRule="exact"/>
        <w:ind w:firstLine="480" w:firstLineChars="200"/>
        <w:jc w:val="left"/>
        <w:rPr>
          <w:rFonts w:ascii="Times New Roman" w:hAnsi="Times New Roman" w:eastAsia="宋体" w:cs="Times New Roman"/>
          <w:kern w:val="0"/>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kern w:val="0"/>
          <w:sz w:val="24"/>
          <w:szCs w:val="24"/>
        </w:rPr>
        <w:t>A</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《雷电防护装置检测资质管理办法》第二十八条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鼓励防雷行业组织对防雷装置检测活动实行（）管理，并接受省、自治区、直辖市气象主管机构的政策、业务指导和行业监督。</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自我</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行业</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C.</w:t>
      </w:r>
      <w:r>
        <w:rPr>
          <w:rFonts w:hint="eastAsia" w:ascii="Times New Roman" w:hAnsi="Times New Roman" w:eastAsia="宋体" w:cs="Times New Roman"/>
          <w:sz w:val="24"/>
          <w:szCs w:val="24"/>
        </w:rPr>
        <w:t>企业</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行业自律</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D</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《雷电防护装置检测资质管理办法》第三十一条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《防雷装置检测资质证》规定，申请单位隐瞒有关情况、提供虚假材料申请资质认定的，有关气象主管机构不予受理或者不予行政许可，并给予警告。申请单位在（）内不得再次申请资质认定。</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半年</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二年</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hint="eastAsia" w:ascii="Times New Roman" w:hAnsi="Times New Roman" w:cs="Times New Roman"/>
        </w:rPr>
        <w:t>一年</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rPr>
        <w:t>五年</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C</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：《防雷装置检测资质证》第三十三条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bookmarkStart w:id="5" w:name="_Toc7359544"/>
      <w:r>
        <w:rPr>
          <w:rFonts w:hint="eastAsia" w:ascii="Times New Roman" w:hAnsi="Times New Roman" w:cs="Times New Roman"/>
        </w:rPr>
        <w:t>《雷电防护装置检测资质管理办法》规定，被许可单位以欺骗、贿赂等不正当手段取得资质的，有关气象主管机构按照权限给予警告，撤销其资质证，可以并处三万元以下罚款；被许可单位在（）内不得再次申请资质认定。</w:t>
      </w:r>
      <w:bookmarkEnd w:id="5"/>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三年</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两年</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C.</w:t>
      </w:r>
      <w:r>
        <w:rPr>
          <w:rFonts w:hint="eastAsia" w:ascii="Times New Roman" w:hAnsi="Times New Roman" w:eastAsia="宋体" w:cs="Times New Roman"/>
          <w:sz w:val="24"/>
          <w:szCs w:val="24"/>
        </w:rPr>
        <w:t>一年</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五年</w:t>
      </w:r>
    </w:p>
    <w:p>
      <w:pPr>
        <w:spacing w:line="400" w:lineRule="exact"/>
        <w:ind w:firstLine="480" w:firstLineChars="200"/>
        <w:jc w:val="left"/>
        <w:rPr>
          <w:rFonts w:ascii="Times New Roman" w:hAnsi="Times New Roman" w:eastAsia="宋体" w:cs="Times New Roman"/>
          <w:kern w:val="0"/>
          <w:sz w:val="24"/>
          <w:szCs w:val="24"/>
        </w:rPr>
      </w:pPr>
      <w:bookmarkStart w:id="6" w:name="_Toc7359543"/>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kern w:val="0"/>
          <w:sz w:val="24"/>
          <w:szCs w:val="24"/>
        </w:rPr>
        <w:t>A</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《雷电防护装置检测资质管理办法》</w:t>
      </w:r>
      <w:bookmarkEnd w:id="6"/>
      <w:r>
        <w:rPr>
          <w:rFonts w:hint="eastAsia" w:ascii="Times New Roman" w:hAnsi="Times New Roman" w:eastAsia="宋体" w:cs="Times New Roman"/>
          <w:kern w:val="0"/>
          <w:sz w:val="24"/>
          <w:szCs w:val="24"/>
        </w:rPr>
        <w:t>第三十四条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申报防雷装置甲级检测资质的单位，要求其技术负责人从事防雷装置检测工作（）以上。</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lang w:val="en-US" w:eastAsia="zh-CN"/>
        </w:rPr>
        <w:t>二</w:t>
      </w:r>
      <w:r>
        <w:rPr>
          <w:rFonts w:hint="eastAsia" w:ascii="Times New Roman" w:hAnsi="Times New Roman" w:cs="Times New Roman"/>
        </w:rPr>
        <w:t>年</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lang w:val="en-US" w:eastAsia="zh-CN"/>
        </w:rPr>
        <w:t>三</w:t>
      </w:r>
      <w:r>
        <w:rPr>
          <w:rFonts w:hint="eastAsia" w:ascii="Times New Roman" w:hAnsi="Times New Roman" w:cs="Times New Roman"/>
        </w:rPr>
        <w:t>年</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hint="eastAsia" w:ascii="Times New Roman" w:hAnsi="Times New Roman" w:cs="Times New Roman"/>
          <w:lang w:val="en-US" w:eastAsia="zh-CN"/>
        </w:rPr>
        <w:t>四</w:t>
      </w:r>
      <w:r>
        <w:rPr>
          <w:rFonts w:hint="eastAsia" w:ascii="Times New Roman" w:hAnsi="Times New Roman" w:cs="Times New Roman"/>
        </w:rPr>
        <w:t>年</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lang w:val="en-US" w:eastAsia="zh-CN"/>
        </w:rPr>
        <w:t>五</w:t>
      </w:r>
      <w:r>
        <w:rPr>
          <w:rFonts w:hint="eastAsia" w:ascii="Times New Roman" w:hAnsi="Times New Roman" w:cs="Times New Roman"/>
        </w:rPr>
        <w:t>年</w:t>
      </w:r>
    </w:p>
    <w:p>
      <w:pPr>
        <w:pStyle w:val="28"/>
        <w:spacing w:before="0" w:beforeAutospacing="0" w:after="0" w:afterAutospacing="0" w:line="400" w:lineRule="exact"/>
        <w:ind w:firstLine="480" w:firstLineChars="200"/>
        <w:rPr>
          <w:rFonts w:hint="eastAsia" w:ascii="Times New Roman" w:hAnsi="Times New Roman" w:eastAsia="宋体" w:cs="Times New Roman"/>
          <w:lang w:val="en-US" w:eastAsia="zh-CN"/>
        </w:rPr>
      </w:pPr>
      <w:r>
        <w:rPr>
          <w:rFonts w:hint="eastAsia" w:ascii="Times New Roman" w:hAnsi="Times New Roman" w:eastAsia="黑体" w:cs="Times New Roman"/>
        </w:rPr>
        <w:t>答案</w:t>
      </w:r>
      <w:r>
        <w:rPr>
          <w:rFonts w:hint="eastAsia" w:ascii="Times New Roman" w:hAnsi="Times New Roman" w:cs="Times New Roman"/>
        </w:rPr>
        <w:t>：</w:t>
      </w:r>
      <w:r>
        <w:rPr>
          <w:rFonts w:hint="eastAsia" w:ascii="Times New Roman" w:hAnsi="Times New Roman" w:cs="Times New Roman"/>
          <w:lang w:val="en-US" w:eastAsia="zh-CN"/>
        </w:rPr>
        <w:t>C</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：《雷电防护装置检测资质管理办法》第八条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申报防雷装置乙级检测资质的单位，要求其技术负责人从事防雷装置检测等工作（）以上。</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lang w:val="en-US" w:eastAsia="zh-CN"/>
        </w:rPr>
        <w:t>二</w:t>
      </w:r>
      <w:r>
        <w:rPr>
          <w:rFonts w:hint="eastAsia" w:ascii="Times New Roman" w:hAnsi="Times New Roman" w:cs="Times New Roman"/>
        </w:rPr>
        <w:t>年</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lang w:val="en-US" w:eastAsia="zh-CN"/>
        </w:rPr>
        <w:t>三</w:t>
      </w:r>
      <w:r>
        <w:rPr>
          <w:rFonts w:hint="eastAsia" w:ascii="Times New Roman" w:hAnsi="Times New Roman" w:cs="Times New Roman"/>
        </w:rPr>
        <w:t>年</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hint="eastAsia" w:ascii="Times New Roman" w:hAnsi="Times New Roman" w:cs="Times New Roman"/>
          <w:lang w:val="en-US" w:eastAsia="zh-CN"/>
        </w:rPr>
        <w:t>四</w:t>
      </w:r>
      <w:r>
        <w:rPr>
          <w:rFonts w:hint="eastAsia" w:ascii="Times New Roman" w:hAnsi="Times New Roman" w:cs="Times New Roman"/>
        </w:rPr>
        <w:t>年</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lang w:val="en-US" w:eastAsia="zh-CN"/>
        </w:rPr>
        <w:t>五</w:t>
      </w:r>
      <w:r>
        <w:rPr>
          <w:rFonts w:hint="eastAsia" w:ascii="Times New Roman" w:hAnsi="Times New Roman" w:cs="Times New Roman"/>
        </w:rPr>
        <w:t>年</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A</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：《雷电防护装置检测资质管理办法》第九条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申报防雷装置甲级检测资质的单位，要求近三年开展的防雷装置检测项目不少于（）。</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一百个</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两百个</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hint="eastAsia" w:ascii="Times New Roman" w:hAnsi="Times New Roman" w:cs="Times New Roman"/>
        </w:rPr>
        <w:t>三百个</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rPr>
        <w:t>没有限制</w:t>
      </w:r>
    </w:p>
    <w:p>
      <w:pPr>
        <w:pStyle w:val="28"/>
        <w:spacing w:before="0" w:beforeAutospacing="0" w:after="0" w:afterAutospacing="0" w:line="400" w:lineRule="exact"/>
        <w:ind w:firstLine="480" w:firstLineChars="200"/>
        <w:rPr>
          <w:rFonts w:hint="eastAsia" w:ascii="Times New Roman" w:hAnsi="Times New Roman" w:eastAsia="宋体" w:cs="Times New Roman"/>
          <w:lang w:val="en-US" w:eastAsia="zh-CN"/>
        </w:rPr>
      </w:pPr>
      <w:r>
        <w:rPr>
          <w:rFonts w:hint="eastAsia" w:ascii="Times New Roman" w:hAnsi="Times New Roman" w:eastAsia="黑体" w:cs="Times New Roman"/>
        </w:rPr>
        <w:t>答案</w:t>
      </w:r>
      <w:r>
        <w:rPr>
          <w:rFonts w:hint="eastAsia" w:ascii="Times New Roman" w:hAnsi="Times New Roman" w:cs="Times New Roman"/>
        </w:rPr>
        <w:t>：</w:t>
      </w:r>
      <w:r>
        <w:rPr>
          <w:rFonts w:hint="eastAsia" w:ascii="Times New Roman" w:hAnsi="Times New Roman" w:cs="Times New Roman"/>
          <w:lang w:val="en-US" w:eastAsia="zh-CN"/>
        </w:rPr>
        <w:t>B</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：《雷电防护装置检测资质管理办法》第八条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申报防雷装置甲级检测资质的单位，防雷装置检测项目通过省级气象主管机构组织的质量考核合格率达百分之（）以上。</w:t>
      </w:r>
    </w:p>
    <w:p>
      <w:pPr>
        <w:pStyle w:val="28"/>
        <w:spacing w:before="0" w:beforeAutospacing="0" w:after="0" w:afterAutospacing="0" w:line="400" w:lineRule="exact"/>
        <w:ind w:firstLine="48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八十</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九十</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hint="eastAsia" w:ascii="Times New Roman" w:hAnsi="Times New Roman" w:cs="Times New Roman"/>
        </w:rPr>
        <w:t>九十五</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hint="eastAsia" w:ascii="Times New Roman" w:hAnsi="Times New Roman" w:cs="Times New Roman"/>
        </w:rPr>
        <w:t>八十五</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B</w:t>
      </w:r>
    </w:p>
    <w:p>
      <w:pPr>
        <w:pStyle w:val="28"/>
        <w:spacing w:before="0" w:beforeAutospacing="0" w:after="0" w:afterAutospacing="0" w:line="400" w:lineRule="exact"/>
        <w:ind w:firstLine="480" w:firstLineChars="200"/>
        <w:rPr>
          <w:rFonts w:ascii="Times New Roman" w:hAnsi="Times New Roman" w:cs="Times New Roman"/>
        </w:rPr>
      </w:pPr>
      <w:r>
        <w:rPr>
          <w:rFonts w:hint="eastAsia" w:ascii="Times New Roman" w:hAnsi="Times New Roman" w:eastAsia="黑体" w:cs="Times New Roman"/>
        </w:rPr>
        <w:t>解析</w:t>
      </w:r>
      <w:r>
        <w:rPr>
          <w:rFonts w:hint="eastAsia" w:ascii="Times New Roman" w:hAnsi="Times New Roman" w:cs="Times New Roman"/>
        </w:rPr>
        <w:t>：《雷电防护装置检测资质管理办法》第八条</w:t>
      </w:r>
    </w:p>
    <w:p>
      <w:pPr>
        <w:pStyle w:val="28"/>
        <w:numPr>
          <w:ilvl w:val="1"/>
          <w:numId w:val="6"/>
        </w:numPr>
        <w:spacing w:before="0" w:beforeAutospacing="0" w:after="0" w:afterAutospacing="0" w:line="400" w:lineRule="exact"/>
        <w:ind w:left="480" w:hanging="480" w:hangingChars="200"/>
        <w:rPr>
          <w:rFonts w:ascii="Times New Roman" w:hAnsi="Times New Roman" w:cs="Times New Roman"/>
        </w:rPr>
      </w:pPr>
      <w:r>
        <w:rPr>
          <w:rFonts w:hint="eastAsia" w:ascii="Times New Roman" w:hAnsi="Times New Roman" w:cs="Times New Roman"/>
        </w:rPr>
        <w:t>无资质或者超越资质许可范围从事雷电防护装置检测的，由县级以上气象主管机构或者其他有关部门按照权限责令停止违法行为，处（）罚款；有违法所得的，没收违法所得；给他人造成损失的，依法承担赔偿责任。</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A.1</w:t>
      </w:r>
      <w:r>
        <w:rPr>
          <w:rFonts w:hint="eastAsia" w:ascii="Times New Roman" w:hAnsi="Times New Roman" w:eastAsia="宋体" w:cs="Times New Roman"/>
          <w:sz w:val="24"/>
          <w:szCs w:val="24"/>
        </w:rPr>
        <w:t>万元以上</w:t>
      </w:r>
      <w:r>
        <w:rPr>
          <w:rFonts w:ascii="Times New Roman" w:hAnsi="Times New Roman" w:eastAsia="宋体" w:cs="Times New Roman"/>
          <w:sz w:val="24"/>
          <w:szCs w:val="24"/>
        </w:rPr>
        <w:t>3</w:t>
      </w:r>
      <w:r>
        <w:rPr>
          <w:rFonts w:hint="eastAsia" w:ascii="Times New Roman" w:hAnsi="Times New Roman" w:eastAsia="宋体" w:cs="Times New Roman"/>
          <w:sz w:val="24"/>
          <w:szCs w:val="24"/>
        </w:rPr>
        <w:t>万元以下</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B.3</w:t>
      </w:r>
      <w:r>
        <w:rPr>
          <w:rFonts w:hint="eastAsia" w:ascii="Times New Roman" w:hAnsi="Times New Roman" w:eastAsia="宋体" w:cs="Times New Roman"/>
          <w:sz w:val="24"/>
          <w:szCs w:val="24"/>
        </w:rPr>
        <w:t>万元以上</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万元以下</w:t>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C.5</w:t>
      </w:r>
      <w:r>
        <w:rPr>
          <w:rFonts w:hint="eastAsia" w:ascii="Times New Roman" w:hAnsi="Times New Roman" w:eastAsia="宋体" w:cs="Times New Roman"/>
          <w:sz w:val="24"/>
          <w:szCs w:val="24"/>
        </w:rPr>
        <w:t>万元以上</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万元以下</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D.1</w:t>
      </w:r>
      <w:r>
        <w:rPr>
          <w:rFonts w:hint="eastAsia" w:ascii="Times New Roman" w:hAnsi="Times New Roman" w:eastAsia="宋体" w:cs="Times New Roman"/>
          <w:sz w:val="24"/>
          <w:szCs w:val="24"/>
        </w:rPr>
        <w:t>万元以上</w:t>
      </w:r>
      <w:r>
        <w:rPr>
          <w:rFonts w:ascii="Times New Roman" w:hAnsi="Times New Roman" w:eastAsia="宋体" w:cs="Times New Roman"/>
          <w:sz w:val="24"/>
          <w:szCs w:val="24"/>
        </w:rPr>
        <w:t>5</w:t>
      </w:r>
      <w:r>
        <w:rPr>
          <w:rFonts w:hint="eastAsia" w:ascii="Times New Roman" w:hAnsi="Times New Roman" w:eastAsia="宋体" w:cs="Times New Roman"/>
          <w:sz w:val="24"/>
          <w:szCs w:val="24"/>
        </w:rPr>
        <w:t>万元以下</w:t>
      </w:r>
    </w:p>
    <w:p>
      <w:pPr>
        <w:pStyle w:val="28"/>
        <w:spacing w:before="0" w:beforeAutospacing="0" w:after="0" w:afterAutospacing="0" w:line="400" w:lineRule="exact"/>
        <w:ind w:firstLine="480" w:firstLineChars="200"/>
        <w:rPr>
          <w:rFonts w:ascii="Times New Roman" w:hAnsi="Times New Roman" w:cs="Times New Roman"/>
        </w:rPr>
      </w:pPr>
      <w:bookmarkStart w:id="7" w:name="_Toc25916896"/>
      <w:r>
        <w:rPr>
          <w:rFonts w:hint="eastAsia" w:ascii="Times New Roman" w:hAnsi="Times New Roman" w:eastAsia="黑体" w:cs="Times New Roman"/>
        </w:rPr>
        <w:t>答案</w:t>
      </w:r>
      <w:r>
        <w:rPr>
          <w:rFonts w:hint="eastAsia" w:ascii="Times New Roman" w:hAnsi="Times New Roman" w:cs="Times New Roman"/>
        </w:rPr>
        <w:t>：</w:t>
      </w:r>
      <w:r>
        <w:rPr>
          <w:rFonts w:ascii="Times New Roman" w:hAnsi="Times New Roman" w:cs="Times New Roman"/>
        </w:rPr>
        <w:t>C</w:t>
      </w:r>
      <w:bookmarkEnd w:id="7"/>
    </w:p>
    <w:p>
      <w:pPr>
        <w:pStyle w:val="28"/>
        <w:spacing w:before="0" w:beforeAutospacing="0" w:after="0" w:afterAutospacing="0" w:line="400" w:lineRule="exact"/>
        <w:ind w:firstLine="480" w:firstLineChars="200"/>
        <w:rPr>
          <w:rFonts w:ascii="Times New Roman" w:hAnsi="Times New Roman" w:cs="Times New Roman"/>
        </w:rPr>
      </w:pPr>
      <w:bookmarkStart w:id="8" w:name="_Toc25916897"/>
      <w:r>
        <w:rPr>
          <w:rFonts w:hint="eastAsia" w:ascii="Times New Roman" w:hAnsi="Times New Roman" w:eastAsia="黑体" w:cs="Times New Roman"/>
        </w:rPr>
        <w:t>解析</w:t>
      </w:r>
      <w:r>
        <w:rPr>
          <w:rFonts w:hint="eastAsia" w:ascii="Times New Roman" w:hAnsi="Times New Roman" w:cs="Times New Roman"/>
        </w:rPr>
        <w:t>：《气象灾害防御条例》第四十五条</w:t>
      </w:r>
      <w:bookmarkEnd w:id="8"/>
    </w:p>
    <w:p>
      <w:pPr>
        <w:pStyle w:val="137"/>
        <w:spacing w:before="156" w:line="400" w:lineRule="exact"/>
        <w:rPr>
          <w:rFonts w:ascii="Times New Roman" w:hAnsi="Times New Roman"/>
        </w:rPr>
      </w:pPr>
      <w:bookmarkStart w:id="9" w:name="_Toc36220930"/>
      <w:bookmarkStart w:id="10" w:name="_Toc26455965"/>
      <w:bookmarkStart w:id="11" w:name="_Toc25938012"/>
      <w:bookmarkStart w:id="12" w:name="_Toc25937884"/>
      <w:r>
        <w:rPr>
          <w:rFonts w:hint="eastAsia" w:ascii="Times New Roman" w:hAnsi="Times New Roman"/>
        </w:rPr>
        <w:t>二 多选题</w:t>
      </w:r>
      <w:bookmarkEnd w:id="9"/>
      <w:bookmarkEnd w:id="10"/>
      <w:bookmarkEnd w:id="11"/>
      <w:bookmarkEnd w:id="12"/>
    </w:p>
    <w:p>
      <w:pPr>
        <w:numPr>
          <w:ilvl w:val="0"/>
          <w:numId w:val="7"/>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根据《中华人民共和国气象法》规定，以下说法正确的是哪几项？（）</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各级气象主管机构应当加强对雷电灾害防御工作的组织管理</w:t>
      </w:r>
      <w:r>
        <w:rPr>
          <w:rFonts w:ascii="Times New Roman" w:hAnsi="Times New Roman" w:eastAsia="宋体" w:cs="Times New Roman"/>
          <w:sz w:val="24"/>
          <w:szCs w:val="24"/>
        </w:rPr>
        <w:tab/>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各级气象主管机构应当会同有关部门指导对可能遭受雷击的建筑物、构筑物和其他设施安装的雷电灾害防护装置的检测工作</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安装的雷电灾害防护装置应当符合省级气象主管机构规定的使用要求</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安装的雷电灾害防护装置应当符合省级地方标准</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bookmarkStart w:id="13" w:name="_Toc7359393"/>
      <w:r>
        <w:rPr>
          <w:rFonts w:hint="eastAsia" w:ascii="Times New Roman" w:hAnsi="Times New Roman" w:eastAsia="宋体" w:cs="Times New Roman"/>
          <w:sz w:val="24"/>
          <w:szCs w:val="24"/>
        </w:rPr>
        <w:t>中华人民共和国气象法</w:t>
      </w:r>
      <w:bookmarkEnd w:id="13"/>
      <w:r>
        <w:rPr>
          <w:rFonts w:hint="eastAsia" w:ascii="Times New Roman" w:hAnsi="Times New Roman" w:eastAsia="宋体" w:cs="Times New Roman"/>
          <w:sz w:val="24"/>
          <w:szCs w:val="24"/>
        </w:rPr>
        <w:t>》第三十一条</w:t>
      </w:r>
    </w:p>
    <w:p>
      <w:pPr>
        <w:numPr>
          <w:ilvl w:val="0"/>
          <w:numId w:val="7"/>
        </w:numPr>
        <w:spacing w:line="400" w:lineRule="exact"/>
        <w:jc w:val="left"/>
        <w:rPr>
          <w:rFonts w:ascii="Times New Roman" w:hAnsi="Times New Roman" w:eastAsia="宋体" w:cs="Times New Roman"/>
          <w:sz w:val="24"/>
          <w:szCs w:val="24"/>
        </w:rPr>
      </w:pPr>
      <w:bookmarkStart w:id="14" w:name="_Toc7359407"/>
      <w:r>
        <w:rPr>
          <w:rFonts w:hint="eastAsia" w:ascii="Times New Roman" w:hAnsi="Times New Roman" w:eastAsia="宋体" w:cs="Times New Roman"/>
          <w:sz w:val="24"/>
          <w:szCs w:val="24"/>
        </w:rPr>
        <w:t>根据《中华人民共和国气象法》</w:t>
      </w:r>
      <w:bookmarkEnd w:id="14"/>
      <w:r>
        <w:rPr>
          <w:rFonts w:hint="eastAsia" w:ascii="Times New Roman" w:hAnsi="Times New Roman" w:eastAsia="宋体" w:cs="Times New Roman"/>
          <w:sz w:val="24"/>
          <w:szCs w:val="24"/>
        </w:rPr>
        <w:t>规定，安装不符合使用要求的雷电灾害防护装置的，有关气象主管机构按照权限可作出哪些处理措施？（）</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责令改正</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给予警告</w:t>
      </w:r>
      <w:r>
        <w:rPr>
          <w:rFonts w:ascii="Times New Roman" w:hAnsi="Times New Roman" w:eastAsia="宋体" w:cs="Times New Roman"/>
          <w:sz w:val="24"/>
          <w:szCs w:val="24"/>
        </w:rPr>
        <w:tab/>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处五万元以下罚款</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吊销资质证</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ABC</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：《中华人民共和国气象法》第三十六条</w:t>
      </w:r>
    </w:p>
    <w:p>
      <w:pPr>
        <w:numPr>
          <w:ilvl w:val="0"/>
          <w:numId w:val="7"/>
        </w:numPr>
        <w:spacing w:line="400" w:lineRule="exact"/>
        <w:jc w:val="left"/>
        <w:rPr>
          <w:rFonts w:ascii="Times New Roman" w:hAnsi="Times New Roman" w:eastAsia="宋体" w:cs="Times New Roman"/>
          <w:kern w:val="0"/>
          <w:sz w:val="24"/>
          <w:szCs w:val="24"/>
        </w:rPr>
      </w:pPr>
      <w:r>
        <w:rPr>
          <w:rFonts w:hint="eastAsia" w:ascii="Times New Roman" w:hAnsi="Times New Roman" w:eastAsia="宋体" w:cs="Times New Roman"/>
          <w:sz w:val="24"/>
          <w:szCs w:val="24"/>
        </w:rPr>
        <w:t>根据《中华人民共和国安全生产法》规定，安全生产</w:t>
      </w:r>
      <w:r>
        <w:rPr>
          <w:rFonts w:hint="eastAsia" w:ascii="Times New Roman" w:hAnsi="Times New Roman" w:eastAsia="宋体" w:cs="Times New Roman"/>
          <w:kern w:val="0"/>
          <w:sz w:val="24"/>
          <w:szCs w:val="24"/>
        </w:rPr>
        <w:t>工作应当以人为本，坚持</w:t>
      </w:r>
      <w:r>
        <w:rPr>
          <w:rFonts w:hint="eastAsia" w:ascii="Times New Roman" w:hAnsi="Times New Roman" w:eastAsia="宋体" w:cs="Times New Roman"/>
          <w:kern w:val="0"/>
          <w:sz w:val="24"/>
          <w:szCs w:val="24"/>
          <w:lang w:val="en-US" w:eastAsia="zh-CN"/>
        </w:rPr>
        <w:t>人民至上、生命至上，把保护人民生命安全摆在首位，树牢</w:t>
      </w:r>
      <w:r>
        <w:rPr>
          <w:rFonts w:hint="eastAsia" w:ascii="Times New Roman" w:hAnsi="Times New Roman" w:eastAsia="宋体" w:cs="Times New Roman"/>
          <w:kern w:val="0"/>
          <w:sz w:val="24"/>
          <w:szCs w:val="24"/>
        </w:rPr>
        <w:t>安全发展</w:t>
      </w:r>
      <w:r>
        <w:rPr>
          <w:rFonts w:hint="eastAsia" w:ascii="Times New Roman" w:hAnsi="Times New Roman" w:eastAsia="宋体" w:cs="Times New Roman"/>
          <w:kern w:val="0"/>
          <w:sz w:val="24"/>
          <w:szCs w:val="24"/>
          <w:lang w:val="en-US" w:eastAsia="zh-CN"/>
        </w:rPr>
        <w:t>理念</w:t>
      </w:r>
      <w:r>
        <w:rPr>
          <w:rFonts w:hint="eastAsia" w:ascii="Times New Roman" w:hAnsi="Times New Roman" w:eastAsia="宋体" w:cs="Times New Roman"/>
          <w:kern w:val="0"/>
          <w:sz w:val="24"/>
          <w:szCs w:val="24"/>
        </w:rPr>
        <w:t>，坚持（）的方针</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从源头上防范化解重大安全风险</w:t>
      </w:r>
      <w:r>
        <w:rPr>
          <w:rFonts w:hint="eastAsia" w:ascii="Times New Roman" w:hAnsi="Times New Roman" w:eastAsia="宋体" w:cs="Times New Roman"/>
          <w:kern w:val="0"/>
          <w:sz w:val="24"/>
          <w:szCs w:val="24"/>
        </w:rPr>
        <w:t>。</w:t>
      </w:r>
    </w:p>
    <w:p>
      <w:pPr>
        <w:spacing w:line="400" w:lineRule="exact"/>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A.</w:t>
      </w:r>
      <w:r>
        <w:rPr>
          <w:rFonts w:hint="eastAsia" w:ascii="Times New Roman" w:hAnsi="Times New Roman" w:eastAsia="宋体" w:cs="Times New Roman"/>
          <w:kern w:val="0"/>
          <w:sz w:val="24"/>
          <w:szCs w:val="24"/>
        </w:rPr>
        <w:t>安全第一</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B.</w:t>
      </w:r>
      <w:r>
        <w:rPr>
          <w:rFonts w:hint="eastAsia" w:ascii="Times New Roman" w:hAnsi="Times New Roman" w:eastAsia="宋体" w:cs="Times New Roman"/>
          <w:kern w:val="0"/>
          <w:sz w:val="24"/>
          <w:szCs w:val="24"/>
        </w:rPr>
        <w:t>管控结合</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C.</w:t>
      </w:r>
      <w:r>
        <w:rPr>
          <w:rFonts w:hint="eastAsia" w:ascii="Times New Roman" w:hAnsi="Times New Roman" w:eastAsia="宋体" w:cs="Times New Roman"/>
          <w:kern w:val="0"/>
          <w:sz w:val="24"/>
          <w:szCs w:val="24"/>
        </w:rPr>
        <w:t>综合治理</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D.</w:t>
      </w:r>
      <w:r>
        <w:rPr>
          <w:rFonts w:hint="eastAsia" w:ascii="Times New Roman" w:hAnsi="Times New Roman" w:eastAsia="宋体" w:cs="Times New Roman"/>
          <w:kern w:val="0"/>
          <w:sz w:val="24"/>
          <w:szCs w:val="24"/>
        </w:rPr>
        <w:t>预防为主</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ACD</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：《中华人民共和国安全生产法》第三条</w:t>
      </w:r>
    </w:p>
    <w:p>
      <w:pPr>
        <w:numPr>
          <w:ilvl w:val="0"/>
          <w:numId w:val="7"/>
        </w:numPr>
        <w:spacing w:line="400" w:lineRule="exact"/>
        <w:jc w:val="left"/>
        <w:rPr>
          <w:rFonts w:ascii="Times New Roman" w:hAnsi="Times New Roman" w:eastAsia="宋体" w:cs="Times New Roman"/>
          <w:kern w:val="0"/>
          <w:sz w:val="24"/>
          <w:szCs w:val="24"/>
        </w:rPr>
      </w:pPr>
      <w:r>
        <w:rPr>
          <w:rFonts w:hint="eastAsia" w:ascii="Times New Roman" w:hAnsi="Times New Roman" w:eastAsia="宋体" w:cs="Times New Roman"/>
          <w:sz w:val="24"/>
          <w:szCs w:val="24"/>
        </w:rPr>
        <w:t>根据《中华人民共和国安全生产法》规定，</w:t>
      </w:r>
      <w:r>
        <w:rPr>
          <w:rFonts w:hint="eastAsia" w:ascii="Times New Roman" w:hAnsi="Times New Roman" w:eastAsia="宋体" w:cs="Times New Roman"/>
          <w:kern w:val="0"/>
          <w:sz w:val="24"/>
          <w:szCs w:val="24"/>
        </w:rPr>
        <w:t>生产经营单位新建、改建、扩建工程项目（以下统称建设项目）的安全设施，必须与主体工程（）。</w:t>
      </w:r>
    </w:p>
    <w:p>
      <w:pPr>
        <w:spacing w:line="400" w:lineRule="exact"/>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A.</w:t>
      </w:r>
      <w:r>
        <w:rPr>
          <w:rFonts w:hint="eastAsia" w:ascii="Times New Roman" w:hAnsi="Times New Roman" w:eastAsia="宋体" w:cs="Times New Roman"/>
          <w:kern w:val="0"/>
          <w:sz w:val="24"/>
          <w:szCs w:val="24"/>
        </w:rPr>
        <w:t>分期设计</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B.</w:t>
      </w:r>
      <w:r>
        <w:rPr>
          <w:rFonts w:hint="eastAsia" w:ascii="Times New Roman" w:hAnsi="Times New Roman" w:eastAsia="宋体" w:cs="Times New Roman"/>
          <w:kern w:val="0"/>
          <w:sz w:val="24"/>
          <w:szCs w:val="24"/>
        </w:rPr>
        <w:t>同时施工</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spacing w:line="400" w:lineRule="exact"/>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C.</w:t>
      </w:r>
      <w:r>
        <w:rPr>
          <w:rFonts w:hint="eastAsia" w:ascii="Times New Roman" w:hAnsi="Times New Roman" w:eastAsia="宋体" w:cs="Times New Roman"/>
          <w:spacing w:val="-20"/>
          <w:kern w:val="0"/>
          <w:sz w:val="24"/>
          <w:szCs w:val="24"/>
        </w:rPr>
        <w:t>同时投入生产和使用</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D.</w:t>
      </w:r>
      <w:r>
        <w:rPr>
          <w:rFonts w:hint="eastAsia" w:ascii="Times New Roman" w:hAnsi="Times New Roman" w:eastAsia="宋体" w:cs="Times New Roman"/>
          <w:kern w:val="0"/>
          <w:sz w:val="24"/>
          <w:szCs w:val="24"/>
        </w:rPr>
        <w:t>同时设计</w:t>
      </w:r>
    </w:p>
    <w:p>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kern w:val="0"/>
          <w:sz w:val="24"/>
          <w:szCs w:val="24"/>
        </w:rPr>
        <w:t>BCD</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：《中华人民共和国安全生产法》第</w:t>
      </w:r>
      <w:r>
        <w:rPr>
          <w:rFonts w:hint="eastAsia" w:ascii="Times New Roman" w:hAnsi="Times New Roman" w:eastAsia="宋体" w:cs="Times New Roman"/>
          <w:sz w:val="24"/>
          <w:szCs w:val="24"/>
          <w:lang w:val="en-US" w:eastAsia="zh-CN"/>
        </w:rPr>
        <w:t>三十一</w:t>
      </w:r>
      <w:r>
        <w:rPr>
          <w:rFonts w:hint="eastAsia" w:ascii="Times New Roman" w:hAnsi="Times New Roman" w:eastAsia="宋体" w:cs="Times New Roman"/>
          <w:sz w:val="24"/>
          <w:szCs w:val="24"/>
        </w:rPr>
        <w:t>条</w:t>
      </w:r>
    </w:p>
    <w:p>
      <w:pPr>
        <w:numPr>
          <w:ilvl w:val="0"/>
          <w:numId w:val="7"/>
        </w:numPr>
        <w:spacing w:line="400" w:lineRule="exact"/>
        <w:jc w:val="left"/>
        <w:rPr>
          <w:rFonts w:ascii="Times New Roman" w:hAnsi="Times New Roman" w:eastAsia="宋体" w:cs="Times New Roman"/>
          <w:kern w:val="0"/>
          <w:sz w:val="24"/>
          <w:szCs w:val="24"/>
        </w:rPr>
      </w:pPr>
      <w:r>
        <w:rPr>
          <w:rFonts w:hint="eastAsia" w:ascii="Times New Roman" w:hAnsi="Times New Roman" w:eastAsia="宋体" w:cs="Times New Roman"/>
          <w:sz w:val="24"/>
          <w:szCs w:val="24"/>
        </w:rPr>
        <w:t>根据《中华人民共和国安全生产法》规定，</w:t>
      </w:r>
      <w:r>
        <w:rPr>
          <w:rFonts w:hint="eastAsia" w:ascii="Times New Roman" w:hAnsi="Times New Roman" w:eastAsia="宋体" w:cs="Times New Roman"/>
          <w:kern w:val="0"/>
          <w:sz w:val="24"/>
          <w:szCs w:val="24"/>
        </w:rPr>
        <w:t>以下属于危险物品的是（）。</w:t>
      </w:r>
    </w:p>
    <w:p>
      <w:pPr>
        <w:spacing w:line="400" w:lineRule="exact"/>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A.</w:t>
      </w:r>
      <w:r>
        <w:rPr>
          <w:rFonts w:hint="eastAsia" w:ascii="Times New Roman" w:hAnsi="Times New Roman" w:eastAsia="宋体" w:cs="Times New Roman"/>
          <w:kern w:val="0"/>
          <w:sz w:val="24"/>
          <w:szCs w:val="24"/>
        </w:rPr>
        <w:t>易燃易爆物品</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B.</w:t>
      </w:r>
      <w:r>
        <w:rPr>
          <w:rFonts w:hint="eastAsia" w:ascii="Times New Roman" w:hAnsi="Times New Roman" w:eastAsia="宋体" w:cs="Times New Roman"/>
          <w:kern w:val="0"/>
          <w:sz w:val="24"/>
          <w:szCs w:val="24"/>
        </w:rPr>
        <w:t>危险化学品</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spacing w:line="400" w:lineRule="exact"/>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C.</w:t>
      </w:r>
      <w:r>
        <w:rPr>
          <w:rFonts w:hint="eastAsia" w:ascii="Times New Roman" w:hAnsi="Times New Roman" w:eastAsia="宋体" w:cs="Times New Roman"/>
          <w:kern w:val="0"/>
          <w:sz w:val="24"/>
          <w:szCs w:val="24"/>
        </w:rPr>
        <w:t>放射性物品</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D.</w:t>
      </w:r>
      <w:r>
        <w:rPr>
          <w:rFonts w:hint="eastAsia" w:ascii="Times New Roman" w:hAnsi="Times New Roman" w:eastAsia="宋体" w:cs="Times New Roman"/>
          <w:sz w:val="24"/>
          <w:szCs w:val="24"/>
        </w:rPr>
        <w:t>普通医疗废弃物品</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ABC</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：《中华人民共和国安全生产法》第一百一十</w:t>
      </w:r>
      <w:r>
        <w:rPr>
          <w:rFonts w:hint="eastAsia" w:ascii="Times New Roman" w:hAnsi="Times New Roman" w:eastAsia="宋体" w:cs="Times New Roman"/>
          <w:sz w:val="24"/>
          <w:szCs w:val="24"/>
          <w:lang w:val="en-US" w:eastAsia="zh-CN"/>
        </w:rPr>
        <w:t>七</w:t>
      </w:r>
      <w:r>
        <w:rPr>
          <w:rFonts w:hint="eastAsia" w:ascii="Times New Roman" w:hAnsi="Times New Roman" w:eastAsia="宋体" w:cs="Times New Roman"/>
          <w:sz w:val="24"/>
          <w:szCs w:val="24"/>
        </w:rPr>
        <w:t>条</w:t>
      </w:r>
    </w:p>
    <w:p>
      <w:pPr>
        <w:numPr>
          <w:ilvl w:val="0"/>
          <w:numId w:val="7"/>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根据《气象灾害防御条例》规定，以下说法正确的是哪几项？（）</w:t>
      </w:r>
    </w:p>
    <w:p>
      <w:pPr>
        <w:spacing w:line="400" w:lineRule="exact"/>
        <w:ind w:left="483" w:leftChars="151"/>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新建、改建、扩建建设工程雷电防护装置的设计、施工，只能由取得雷电防护装置设计和施工资质的单位承担</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left="483" w:leftChars="151"/>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新建、改建、扩建建设工程雷电防护装置的设计、施工，可以由取得相应建设、公路、水路、铁路、民航、水利、电力、核电、通信等专业工程设计、施工资质的单位承担</w:t>
      </w:r>
    </w:p>
    <w:p>
      <w:pPr>
        <w:spacing w:line="400" w:lineRule="exact"/>
        <w:ind w:left="483" w:leftChars="151"/>
        <w:rPr>
          <w:rFonts w:ascii="Times New Roman" w:hAnsi="Times New Roman" w:eastAsia="宋体" w:cs="Times New Roman"/>
          <w:sz w:val="24"/>
          <w:szCs w:val="24"/>
        </w:rPr>
      </w:pPr>
      <w:r>
        <w:rPr>
          <w:rFonts w:ascii="Times New Roman" w:hAnsi="Times New Roman" w:eastAsia="宋体" w:cs="Times New Roman"/>
          <w:sz w:val="24"/>
          <w:szCs w:val="24"/>
        </w:rPr>
        <w:t>C.</w:t>
      </w:r>
      <w:r>
        <w:rPr>
          <w:rFonts w:ascii="Arial" w:hAnsi="Arial" w:cs="Arial"/>
          <w:sz w:val="21"/>
          <w:szCs w:val="21"/>
          <w:shd w:val="clear" w:color="auto" w:fill="FFFFFF"/>
        </w:rPr>
        <w:t> </w:t>
      </w:r>
      <w:r>
        <w:rPr>
          <w:rFonts w:hint="eastAsia" w:ascii="Times New Roman" w:hAnsi="Times New Roman" w:eastAsia="宋体" w:cs="Times New Roman"/>
          <w:sz w:val="24"/>
          <w:szCs w:val="24"/>
        </w:rPr>
        <w:t>雷电易发区内的矿区、旅游景点或者投入使</w:t>
      </w:r>
      <w:r>
        <w:rPr>
          <w:rFonts w:hint="eastAsia" w:ascii="Times New Roman" w:hAnsi="Times New Roman" w:eastAsia="宋体" w:cs="Times New Roman"/>
          <w:kern w:val="0"/>
          <w:sz w:val="24"/>
          <w:szCs w:val="24"/>
        </w:rPr>
        <w:t>用的建（构）筑物、设施等需要单独安装雷电防护装置的场所，其雷电防护装置的设计审核</w:t>
      </w:r>
      <w:r>
        <w:rPr>
          <w:rFonts w:hint="eastAsia" w:ascii="Times New Roman" w:hAnsi="Times New Roman" w:eastAsia="宋体" w:cs="Times New Roman"/>
          <w:sz w:val="24"/>
          <w:szCs w:val="24"/>
        </w:rPr>
        <w:t>和竣工验收由县级以上地方气象主管机构负责</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left="483" w:leftChars="151"/>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房屋建筑、市政基础设施、公路、水路、铁路、民航、水利、电力、核电、通信等建设工程的主管部门，负责相应领域内建设工程的防雷管理</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BCD</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：《气象灾害防御条例》第二十三条</w:t>
      </w:r>
    </w:p>
    <w:p>
      <w:pPr>
        <w:pStyle w:val="28"/>
        <w:numPr>
          <w:ilvl w:val="0"/>
          <w:numId w:val="7"/>
        </w:numPr>
        <w:spacing w:before="0" w:beforeAutospacing="0" w:after="0" w:afterAutospacing="0" w:line="400" w:lineRule="exact"/>
        <w:rPr>
          <w:rFonts w:ascii="Times New Roman" w:hAnsi="Times New Roman" w:cs="Times New Roman"/>
        </w:rPr>
      </w:pPr>
      <w:r>
        <w:rPr>
          <w:rFonts w:hint="eastAsia" w:ascii="Times New Roman" w:hAnsi="Times New Roman" w:cs="Times New Roman"/>
        </w:rPr>
        <w:t>根据《防雷减灾管理办法》规定，为确保公共安全，下列哪些项目需要进行雷电灾害风险评估？（）</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大型建设工程</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kern w:val="0"/>
          <w:sz w:val="24"/>
          <w:szCs w:val="24"/>
        </w:rPr>
        <w:t>B.</w:t>
      </w:r>
      <w:r>
        <w:rPr>
          <w:rFonts w:hint="eastAsia" w:ascii="Times New Roman" w:hAnsi="Times New Roman" w:eastAsia="宋体" w:cs="Times New Roman"/>
          <w:sz w:val="24"/>
          <w:szCs w:val="24"/>
        </w:rPr>
        <w:t>重点工程</w:t>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爆炸和火灾危险环境</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人员密聚集场所</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ABCD</w:t>
      </w:r>
    </w:p>
    <w:p>
      <w:pPr>
        <w:spacing w:line="400" w:lineRule="exact"/>
        <w:ind w:firstLine="480" w:firstLineChars="200"/>
        <w:jc w:val="left"/>
        <w:rPr>
          <w:rFonts w:ascii="Times New Roman" w:hAnsi="Times New Roman" w:eastAsia="宋体" w:cs="Times New Roman"/>
          <w:kern w:val="0"/>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《防雷减灾管理办法》第二十七条第一款</w:t>
      </w:r>
    </w:p>
    <w:p>
      <w:pPr>
        <w:numPr>
          <w:ilvl w:val="0"/>
          <w:numId w:val="7"/>
        </w:numPr>
        <w:spacing w:line="400" w:lineRule="exact"/>
        <w:jc w:val="lef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根据《防雷减灾管理办法》规定，以下说法错误的是哪几项？（）</w:t>
      </w:r>
    </w:p>
    <w:p>
      <w:pPr>
        <w:spacing w:line="400" w:lineRule="exact"/>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sz w:val="24"/>
          <w:szCs w:val="24"/>
        </w:rPr>
        <w:t>A.</w:t>
      </w:r>
      <w:r>
        <w:rPr>
          <w:rFonts w:hint="eastAsia" w:ascii="Times New Roman" w:hAnsi="Times New Roman" w:eastAsia="宋体" w:cs="Times New Roman"/>
          <w:kern w:val="0"/>
          <w:sz w:val="24"/>
          <w:szCs w:val="24"/>
        </w:rPr>
        <w:t>防雷工程，是指通过勘察设计和安装防雷装置形成的雷电灾害防御工程实体</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kern w:val="0"/>
          <w:sz w:val="24"/>
          <w:szCs w:val="24"/>
        </w:rPr>
        <w:t>B.</w:t>
      </w:r>
      <w:r>
        <w:rPr>
          <w:rFonts w:hint="eastAsia" w:ascii="Times New Roman" w:hAnsi="Times New Roman" w:eastAsia="宋体" w:cs="Times New Roman"/>
          <w:kern w:val="0"/>
          <w:sz w:val="24"/>
          <w:szCs w:val="24"/>
        </w:rPr>
        <w:t>防雷装置的设计实行备案制度</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kern w:val="0"/>
          <w:sz w:val="24"/>
          <w:szCs w:val="24"/>
        </w:rPr>
        <w:t>在施工中变更和修改防雷装置设计方案的，应当按照原申请程序重新申请审核</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kern w:val="0"/>
          <w:sz w:val="24"/>
          <w:szCs w:val="24"/>
        </w:rPr>
        <w:t>防雷装置检测机构的资质由市（地）级气象主管机构负责认定</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BD</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《防雷减灾管理办法》第十二条第二款、第十五条第一款、第十六条第二款、第二十条</w:t>
      </w:r>
    </w:p>
    <w:p>
      <w:pPr>
        <w:pStyle w:val="28"/>
        <w:numPr>
          <w:ilvl w:val="0"/>
          <w:numId w:val="7"/>
        </w:numPr>
        <w:spacing w:before="0" w:beforeAutospacing="0" w:after="0" w:afterAutospacing="0" w:line="400" w:lineRule="exact"/>
        <w:rPr>
          <w:rFonts w:ascii="Times New Roman" w:hAnsi="Times New Roman" w:cs="Times New Roman"/>
        </w:rPr>
      </w:pPr>
      <w:r>
        <w:rPr>
          <w:rFonts w:hint="eastAsia" w:ascii="Times New Roman" w:hAnsi="Times New Roman" w:cs="Times New Roman"/>
        </w:rPr>
        <w:t>根据法律法规规定，气象主管机构负责下列哪些场所、项目的防雷装置设计审核和竣工验收？（）</w:t>
      </w:r>
    </w:p>
    <w:p>
      <w:pPr>
        <w:spacing w:line="400" w:lineRule="exact"/>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A.</w:t>
      </w:r>
      <w:r>
        <w:rPr>
          <w:rFonts w:hint="eastAsia" w:ascii="Times New Roman" w:hAnsi="Times New Roman" w:eastAsia="宋体" w:cs="Times New Roman"/>
          <w:kern w:val="0"/>
          <w:sz w:val="24"/>
          <w:szCs w:val="24"/>
        </w:rPr>
        <w:t>油库、气库、弹药库、化学品仓库、烟花爆竹、石化等易燃易爆建设工程和场所</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spacing w:line="400" w:lineRule="exact"/>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B.</w:t>
      </w:r>
      <w:r>
        <w:rPr>
          <w:rFonts w:hint="eastAsia" w:ascii="Times New Roman" w:hAnsi="Times New Roman" w:eastAsia="宋体" w:cs="Times New Roman"/>
          <w:kern w:val="0"/>
          <w:sz w:val="24"/>
          <w:szCs w:val="24"/>
        </w:rPr>
        <w:t>雷电易发区内的矿区、旅游景点或者投入使用的建（构）筑物、设施等需要单独安装雷电防护装置的场所</w:t>
      </w:r>
    </w:p>
    <w:p>
      <w:pPr>
        <w:spacing w:line="400" w:lineRule="exact"/>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C.</w:t>
      </w:r>
      <w:r>
        <w:rPr>
          <w:rFonts w:hint="eastAsia" w:ascii="Times New Roman" w:hAnsi="Times New Roman" w:eastAsia="宋体" w:cs="Times New Roman"/>
          <w:kern w:val="0"/>
          <w:sz w:val="24"/>
          <w:szCs w:val="24"/>
        </w:rPr>
        <w:t>雷电风险高且没有防雷标准规范、需要进行特殊论证的大型项目</w:t>
      </w:r>
    </w:p>
    <w:p>
      <w:pPr>
        <w:spacing w:line="400" w:lineRule="exact"/>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D.</w:t>
      </w:r>
      <w:r>
        <w:rPr>
          <w:rFonts w:hint="eastAsia" w:ascii="Times New Roman" w:hAnsi="Times New Roman" w:eastAsia="宋体" w:cs="Times New Roman"/>
          <w:kern w:val="0"/>
          <w:sz w:val="24"/>
          <w:szCs w:val="24"/>
        </w:rPr>
        <w:t>普通市政设施建筑物</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ABC</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：《气象灾害防御条例》第二十三条第三款</w:t>
      </w:r>
    </w:p>
    <w:p>
      <w:pPr>
        <w:numPr>
          <w:ilvl w:val="0"/>
          <w:numId w:val="7"/>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对防雷装置设计审核的申请，气象主管机构主要审核以下哪些内容？（）</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申请材料的合法性</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设计技术评价报告</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申请材料的合理性</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防雷装置设计文件是否符合当地气象主管机构规定的使用要求</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：《雷电防护装置设计审核和竣工验收规定》第十条</w:t>
      </w:r>
    </w:p>
    <w:p>
      <w:pPr>
        <w:numPr>
          <w:ilvl w:val="0"/>
          <w:numId w:val="7"/>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县级以上地方气象主管机构履行防雷安全监督检查职责时，有权采取下列措施？（）</w:t>
      </w:r>
    </w:p>
    <w:p>
      <w:pPr>
        <w:spacing w:line="400" w:lineRule="exact"/>
        <w:ind w:firstLine="480" w:firstLineChars="200"/>
        <w:rPr>
          <w:rFonts w:ascii="Times New Roman" w:hAnsi="Times New Roman" w:eastAsia="宋体" w:cs="Times New Roman"/>
          <w:sz w:val="24"/>
          <w:szCs w:val="24"/>
        </w:rPr>
      </w:pPr>
      <w:bookmarkStart w:id="15" w:name="_Toc7359763"/>
      <w:r>
        <w:rPr>
          <w:rFonts w:ascii="Times New Roman" w:hAnsi="Times New Roman" w:eastAsia="宋体" w:cs="Times New Roman"/>
          <w:sz w:val="24"/>
          <w:szCs w:val="24"/>
        </w:rPr>
        <w:t>A.</w:t>
      </w:r>
      <w:r>
        <w:rPr>
          <w:rFonts w:hint="eastAsia" w:ascii="Times New Roman" w:hAnsi="Times New Roman" w:eastAsia="宋体" w:cs="Times New Roman"/>
          <w:sz w:val="24"/>
          <w:szCs w:val="24"/>
        </w:rPr>
        <w:t>要求被检查的单位或者个人提供雷电防护装置设计图纸等文件和资料，进行查询或者复制</w:t>
      </w:r>
      <w:bookmarkEnd w:id="15"/>
    </w:p>
    <w:p>
      <w:pPr>
        <w:spacing w:line="400" w:lineRule="exact"/>
        <w:ind w:firstLine="480" w:firstLineChars="200"/>
        <w:rPr>
          <w:rFonts w:ascii="Times New Roman" w:hAnsi="Times New Roman" w:eastAsia="宋体" w:cs="Times New Roman"/>
          <w:sz w:val="24"/>
          <w:szCs w:val="24"/>
        </w:rPr>
      </w:pPr>
      <w:bookmarkStart w:id="16" w:name="_Toc7359764"/>
      <w:r>
        <w:rPr>
          <w:rFonts w:ascii="Times New Roman" w:hAnsi="Times New Roman" w:eastAsia="宋体" w:cs="Times New Roman"/>
          <w:sz w:val="24"/>
          <w:szCs w:val="24"/>
        </w:rPr>
        <w:t>B.</w:t>
      </w:r>
      <w:r>
        <w:rPr>
          <w:rFonts w:hint="eastAsia" w:ascii="Times New Roman" w:hAnsi="Times New Roman" w:eastAsia="宋体" w:cs="Times New Roman"/>
          <w:sz w:val="24"/>
          <w:szCs w:val="24"/>
        </w:rPr>
        <w:t>要求被检查的单位或者个人就有关建筑物防雷装置的设计、安装、检测、验收和投入使用的情况作出说明</w:t>
      </w:r>
      <w:bookmarkEnd w:id="16"/>
    </w:p>
    <w:p>
      <w:pPr>
        <w:spacing w:line="400" w:lineRule="exact"/>
        <w:ind w:firstLine="480" w:firstLineChars="200"/>
        <w:rPr>
          <w:rFonts w:ascii="Times New Roman" w:hAnsi="Times New Roman" w:eastAsia="宋体" w:cs="Times New Roman"/>
          <w:sz w:val="24"/>
          <w:szCs w:val="24"/>
        </w:rPr>
      </w:pPr>
      <w:bookmarkStart w:id="17" w:name="_Toc7359765"/>
      <w:r>
        <w:rPr>
          <w:rFonts w:ascii="Times New Roman" w:hAnsi="Times New Roman" w:eastAsia="宋体" w:cs="Times New Roman"/>
          <w:sz w:val="24"/>
          <w:szCs w:val="24"/>
        </w:rPr>
        <w:t>C.</w:t>
      </w:r>
      <w:r>
        <w:rPr>
          <w:rFonts w:hint="eastAsia" w:ascii="Times New Roman" w:hAnsi="Times New Roman" w:eastAsia="宋体" w:cs="Times New Roman"/>
          <w:sz w:val="24"/>
          <w:szCs w:val="24"/>
        </w:rPr>
        <w:t>要求对方购买相关技术服务</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进入有关建筑物进行检查</w:t>
      </w:r>
      <w:bookmarkEnd w:id="17"/>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ABD</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：《雷电防护装置设计审核和竣工验收规定》第二十二条</w:t>
      </w:r>
    </w:p>
    <w:p>
      <w:pPr>
        <w:numPr>
          <w:ilvl w:val="0"/>
          <w:numId w:val="7"/>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违反《雷电防护装置设计审核和竣工验收规定》，有下列哪些行为之一的，由县级以上气象主管机构按照权限责令改正，给予警告，可以处</w:t>
      </w:r>
      <w:r>
        <w:rPr>
          <w:rFonts w:ascii="Times New Roman" w:hAnsi="Times New Roman" w:eastAsia="宋体" w:cs="Times New Roman"/>
          <w:sz w:val="24"/>
          <w:szCs w:val="24"/>
        </w:rPr>
        <w:t>5</w:t>
      </w:r>
      <w:r>
        <w:rPr>
          <w:rFonts w:hint="eastAsia" w:ascii="Times New Roman" w:hAnsi="Times New Roman" w:eastAsia="宋体" w:cs="Times New Roman"/>
          <w:sz w:val="24"/>
          <w:szCs w:val="24"/>
        </w:rPr>
        <w:t>万元以上</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万元以下罚款？（）</w:t>
      </w:r>
    </w:p>
    <w:p>
      <w:pPr>
        <w:spacing w:line="400" w:lineRule="exact"/>
        <w:ind w:firstLine="480" w:firstLineChars="200"/>
        <w:rPr>
          <w:rFonts w:ascii="Times New Roman" w:hAnsi="Times New Roman" w:eastAsia="宋体" w:cs="Times New Roman"/>
          <w:sz w:val="24"/>
          <w:szCs w:val="24"/>
        </w:rPr>
      </w:pPr>
      <w:bookmarkStart w:id="18" w:name="_Toc7359767"/>
      <w:r>
        <w:rPr>
          <w:rFonts w:ascii="Times New Roman" w:hAnsi="Times New Roman" w:eastAsia="宋体" w:cs="Times New Roman"/>
          <w:sz w:val="24"/>
          <w:szCs w:val="24"/>
        </w:rPr>
        <w:t>A.</w:t>
      </w:r>
      <w:r>
        <w:rPr>
          <w:rFonts w:hint="eastAsia" w:ascii="Times New Roman" w:hAnsi="Times New Roman" w:eastAsia="宋体" w:cs="Times New Roman"/>
          <w:sz w:val="24"/>
          <w:szCs w:val="24"/>
        </w:rPr>
        <w:t>涂改、伪造防雷装置设计审核和竣工验收有关材料或者文件的</w:t>
      </w:r>
      <w:bookmarkEnd w:id="18"/>
    </w:p>
    <w:p>
      <w:pPr>
        <w:spacing w:line="400" w:lineRule="exact"/>
        <w:ind w:firstLine="480" w:firstLineChars="200"/>
        <w:rPr>
          <w:rFonts w:ascii="Times New Roman" w:hAnsi="Times New Roman" w:eastAsia="宋体" w:cs="Times New Roman"/>
          <w:sz w:val="24"/>
          <w:szCs w:val="24"/>
        </w:rPr>
      </w:pPr>
      <w:bookmarkStart w:id="19" w:name="_Toc7359768"/>
      <w:r>
        <w:rPr>
          <w:rFonts w:ascii="Times New Roman" w:hAnsi="Times New Roman" w:eastAsia="宋体" w:cs="Times New Roman"/>
          <w:sz w:val="24"/>
          <w:szCs w:val="24"/>
        </w:rPr>
        <w:t>B.</w:t>
      </w:r>
      <w:r>
        <w:rPr>
          <w:rFonts w:hint="eastAsia" w:ascii="Times New Roman" w:hAnsi="Times New Roman" w:eastAsia="宋体" w:cs="Times New Roman"/>
          <w:sz w:val="24"/>
          <w:szCs w:val="24"/>
        </w:rPr>
        <w:t>向监督检查机构隐瞒有关情况、提供虚假材料或者拒绝提供反映其活动情况的真实材料的</w:t>
      </w:r>
      <w:bookmarkEnd w:id="19"/>
    </w:p>
    <w:p>
      <w:pPr>
        <w:spacing w:line="400" w:lineRule="exact"/>
        <w:ind w:firstLine="480" w:firstLineChars="200"/>
        <w:rPr>
          <w:rFonts w:ascii="Times New Roman" w:hAnsi="Times New Roman" w:eastAsia="宋体" w:cs="Times New Roman"/>
          <w:sz w:val="24"/>
          <w:szCs w:val="24"/>
        </w:rPr>
      </w:pPr>
      <w:bookmarkStart w:id="20" w:name="_Toc7359769"/>
      <w:r>
        <w:rPr>
          <w:rFonts w:ascii="Times New Roman" w:hAnsi="Times New Roman" w:eastAsia="宋体" w:cs="Times New Roman"/>
          <w:sz w:val="24"/>
          <w:szCs w:val="24"/>
        </w:rPr>
        <w:t>C.</w:t>
      </w:r>
      <w:r>
        <w:rPr>
          <w:rFonts w:hint="eastAsia" w:ascii="Times New Roman" w:hAnsi="Times New Roman" w:eastAsia="宋体" w:cs="Times New Roman"/>
          <w:sz w:val="24"/>
          <w:szCs w:val="24"/>
        </w:rPr>
        <w:t>防雷装置设计未经有关气象主管机构核准，擅自施工的</w:t>
      </w:r>
      <w:bookmarkEnd w:id="20"/>
    </w:p>
    <w:p>
      <w:pPr>
        <w:spacing w:line="400" w:lineRule="exact"/>
        <w:ind w:firstLine="480" w:firstLineChars="200"/>
        <w:rPr>
          <w:rFonts w:ascii="Times New Roman" w:hAnsi="Times New Roman" w:eastAsia="宋体" w:cs="Times New Roman"/>
          <w:sz w:val="24"/>
          <w:szCs w:val="24"/>
        </w:rPr>
      </w:pPr>
      <w:bookmarkStart w:id="21" w:name="_Toc7359770"/>
      <w:r>
        <w:rPr>
          <w:rFonts w:ascii="Times New Roman" w:hAnsi="Times New Roman" w:eastAsia="宋体" w:cs="Times New Roman"/>
          <w:sz w:val="24"/>
          <w:szCs w:val="24"/>
        </w:rPr>
        <w:t>D.</w:t>
      </w:r>
      <w:r>
        <w:rPr>
          <w:rFonts w:hint="eastAsia" w:ascii="Times New Roman" w:hAnsi="Times New Roman" w:eastAsia="宋体" w:cs="Times New Roman"/>
          <w:sz w:val="24"/>
          <w:szCs w:val="24"/>
        </w:rPr>
        <w:t>防雷装置竣工未经有关气象主管机构验收合格，擅自投入使用的</w:t>
      </w:r>
      <w:bookmarkEnd w:id="21"/>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CD</w:t>
      </w:r>
    </w:p>
    <w:p>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：《雷电防护装置设计审核和竣工验收规定》第二十六条</w:t>
      </w:r>
    </w:p>
    <w:p>
      <w:pPr>
        <w:numPr>
          <w:ilvl w:val="0"/>
          <w:numId w:val="7"/>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防雷装置检测资质等级分为（）。</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A.A</w:t>
      </w:r>
      <w:r>
        <w:rPr>
          <w:rFonts w:hint="eastAsia" w:ascii="Times New Roman" w:hAnsi="Times New Roman" w:eastAsia="宋体" w:cs="Times New Roman"/>
          <w:sz w:val="24"/>
          <w:szCs w:val="24"/>
        </w:rPr>
        <w:t>级</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B.B</w:t>
      </w:r>
      <w:r>
        <w:rPr>
          <w:rFonts w:hint="eastAsia" w:ascii="Times New Roman" w:hAnsi="Times New Roman" w:eastAsia="宋体" w:cs="Times New Roman"/>
          <w:sz w:val="24"/>
          <w:szCs w:val="24"/>
        </w:rPr>
        <w:t>级</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C.</w:t>
      </w:r>
      <w:r>
        <w:rPr>
          <w:rFonts w:hint="eastAsia" w:ascii="Times New Roman" w:hAnsi="Times New Roman" w:eastAsia="宋体" w:cs="Times New Roman"/>
          <w:sz w:val="24"/>
          <w:szCs w:val="24"/>
        </w:rPr>
        <w:t>甲级</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乙级</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CD</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雷电防护装置检测资质管理办法》第四条</w:t>
      </w:r>
    </w:p>
    <w:p>
      <w:pPr>
        <w:pStyle w:val="28"/>
        <w:numPr>
          <w:ilvl w:val="0"/>
          <w:numId w:val="7"/>
        </w:numPr>
        <w:spacing w:before="0" w:beforeAutospacing="0" w:after="0" w:afterAutospacing="0" w:line="400" w:lineRule="exact"/>
        <w:rPr>
          <w:rFonts w:ascii="Times New Roman" w:hAnsi="Times New Roman" w:cs="Times New Roman"/>
        </w:rPr>
      </w:pPr>
      <w:r>
        <w:rPr>
          <w:rFonts w:hint="eastAsia" w:ascii="Times New Roman" w:hAnsi="Times New Roman" w:cs="Times New Roman"/>
        </w:rPr>
        <w:t>防雷装置检测单位有下列哪些情形之一的，县级以上气象主管机构视情节轻重，责令限期整改？（）</w:t>
      </w:r>
    </w:p>
    <w:p>
      <w:pPr>
        <w:spacing w:line="400" w:lineRule="exact"/>
        <w:ind w:firstLine="480" w:firstLineChars="200"/>
        <w:rPr>
          <w:rFonts w:ascii="Times New Roman" w:hAnsi="Times New Roman" w:eastAsia="宋体" w:cs="Times New Roman"/>
          <w:kern w:val="0"/>
          <w:sz w:val="24"/>
          <w:szCs w:val="24"/>
        </w:rPr>
      </w:pPr>
      <w:r>
        <w:rPr>
          <w:rFonts w:ascii="Times New Roman" w:hAnsi="Times New Roman" w:eastAsia="宋体" w:cs="Times New Roman"/>
          <w:sz w:val="24"/>
          <w:szCs w:val="24"/>
        </w:rPr>
        <w:t>A.</w:t>
      </w:r>
      <w:r>
        <w:rPr>
          <w:rFonts w:hint="eastAsia" w:ascii="Times New Roman" w:hAnsi="Times New Roman" w:eastAsia="宋体" w:cs="Times New Roman"/>
          <w:kern w:val="0"/>
          <w:sz w:val="24"/>
          <w:szCs w:val="24"/>
        </w:rPr>
        <w:t>防雷装置检测标准适用错误的</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spacing w:line="400" w:lineRule="exact"/>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B.</w:t>
      </w:r>
      <w:r>
        <w:rPr>
          <w:rFonts w:hint="eastAsia" w:ascii="Times New Roman" w:hAnsi="Times New Roman" w:eastAsia="宋体" w:cs="Times New Roman"/>
          <w:kern w:val="0"/>
          <w:sz w:val="24"/>
          <w:szCs w:val="24"/>
        </w:rPr>
        <w:t>防雷装置检测方法不正确的</w:t>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spacing w:line="400" w:lineRule="exact"/>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C.</w:t>
      </w:r>
      <w:r>
        <w:rPr>
          <w:rFonts w:hint="eastAsia" w:ascii="Times New Roman" w:hAnsi="Times New Roman" w:eastAsia="宋体" w:cs="Times New Roman"/>
          <w:kern w:val="0"/>
          <w:sz w:val="24"/>
          <w:szCs w:val="24"/>
        </w:rPr>
        <w:t>防雷装置检测内容不全面、达不到相关技术要求或不足以支持防雷装置检测结论的</w:t>
      </w:r>
    </w:p>
    <w:p>
      <w:pPr>
        <w:spacing w:line="400" w:lineRule="exact"/>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D.</w:t>
      </w:r>
      <w:r>
        <w:rPr>
          <w:rFonts w:hint="eastAsia" w:ascii="Times New Roman" w:hAnsi="Times New Roman" w:eastAsia="宋体" w:cs="Times New Roman"/>
          <w:kern w:val="0"/>
          <w:sz w:val="24"/>
          <w:szCs w:val="24"/>
        </w:rPr>
        <w:t>防雷装置检测结论不明确、不全面或错误的</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bCs/>
          <w:sz w:val="24"/>
          <w:szCs w:val="24"/>
        </w:rPr>
        <w:t>答案</w:t>
      </w:r>
      <w:r>
        <w:rPr>
          <w:rFonts w:hint="eastAsia" w:ascii="Times New Roman" w:hAnsi="Times New Roman" w:eastAsia="宋体" w:cs="Times New Roman"/>
          <w:bCs/>
          <w:sz w:val="24"/>
          <w:szCs w:val="24"/>
        </w:rPr>
        <w:t>：</w:t>
      </w:r>
      <w:r>
        <w:rPr>
          <w:rFonts w:ascii="Times New Roman" w:hAnsi="Times New Roman" w:eastAsia="宋体" w:cs="Times New Roman"/>
          <w:bCs/>
          <w:sz w:val="24"/>
          <w:szCs w:val="24"/>
        </w:rPr>
        <w:t>A</w:t>
      </w:r>
      <w:r>
        <w:rPr>
          <w:rFonts w:ascii="Times New Roman" w:hAnsi="Times New Roman" w:eastAsia="宋体" w:cs="Times New Roman"/>
          <w:sz w:val="24"/>
          <w:szCs w:val="24"/>
        </w:rPr>
        <w:t>BC</w:t>
      </w:r>
      <w:r>
        <w:rPr>
          <w:rFonts w:hint="eastAsia" w:ascii="Times New Roman" w:hAnsi="Times New Roman" w:eastAsia="宋体" w:cs="Times New Roman"/>
          <w:sz w:val="24"/>
          <w:szCs w:val="24"/>
        </w:rPr>
        <w:t>D</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：《雷电防护装置检测资质管理办法》第三十条</w:t>
      </w:r>
    </w:p>
    <w:p>
      <w:pPr>
        <w:pStyle w:val="28"/>
        <w:numPr>
          <w:ilvl w:val="0"/>
          <w:numId w:val="7"/>
        </w:numPr>
        <w:spacing w:before="0" w:beforeAutospacing="0" w:after="0" w:afterAutospacing="0" w:line="400" w:lineRule="exact"/>
        <w:rPr>
          <w:rFonts w:ascii="Times New Roman" w:hAnsi="Times New Roman" w:cs="Times New Roman"/>
        </w:rPr>
      </w:pPr>
      <w:r>
        <w:rPr>
          <w:rFonts w:hint="eastAsia" w:ascii="Times New Roman" w:hAnsi="Times New Roman" w:cs="Times New Roman"/>
        </w:rPr>
        <w:t>根据《雷电防护装置检测资质管理办法》规定，申请防雷装置检测资质的单位应当具有防雷装置检测质量管理体系，并有健全的（）制度。</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技术</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档案</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C.</w:t>
      </w:r>
      <w:r>
        <w:rPr>
          <w:rFonts w:hint="eastAsia" w:ascii="Times New Roman" w:hAnsi="Times New Roman" w:eastAsia="宋体" w:cs="Times New Roman"/>
          <w:sz w:val="24"/>
          <w:szCs w:val="24"/>
        </w:rPr>
        <w:t>安全管理</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质量保证</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bCs/>
          <w:sz w:val="24"/>
          <w:szCs w:val="24"/>
        </w:rPr>
        <w:t>答案</w:t>
      </w:r>
      <w:r>
        <w:rPr>
          <w:rFonts w:hint="eastAsia" w:ascii="Times New Roman" w:hAnsi="Times New Roman" w:eastAsia="宋体" w:cs="Times New Roman"/>
          <w:bCs/>
          <w:sz w:val="24"/>
          <w:szCs w:val="24"/>
        </w:rPr>
        <w:t>：</w:t>
      </w:r>
      <w:r>
        <w:rPr>
          <w:rFonts w:ascii="Times New Roman" w:hAnsi="Times New Roman" w:eastAsia="宋体" w:cs="Times New Roman"/>
          <w:bCs/>
          <w:sz w:val="24"/>
          <w:szCs w:val="24"/>
        </w:rPr>
        <w:t>A</w:t>
      </w:r>
      <w:r>
        <w:rPr>
          <w:rFonts w:ascii="Times New Roman" w:hAnsi="Times New Roman" w:eastAsia="宋体" w:cs="Times New Roman"/>
          <w:sz w:val="24"/>
          <w:szCs w:val="24"/>
        </w:rPr>
        <w:t>BC</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：《雷电防护装置检测资质管理办法》第七条第四项</w:t>
      </w:r>
    </w:p>
    <w:p>
      <w:pPr>
        <w:pStyle w:val="28"/>
        <w:numPr>
          <w:ilvl w:val="0"/>
          <w:numId w:val="7"/>
        </w:numPr>
        <w:spacing w:before="0" w:beforeAutospacing="0" w:after="0" w:afterAutospacing="0" w:line="400" w:lineRule="exact"/>
        <w:rPr>
          <w:rFonts w:ascii="Times New Roman" w:hAnsi="Times New Roman" w:cs="Times New Roman"/>
        </w:rPr>
      </w:pPr>
      <w:r>
        <w:rPr>
          <w:rFonts w:hint="eastAsia" w:ascii="Times New Roman" w:hAnsi="Times New Roman" w:cs="Times New Roman"/>
        </w:rPr>
        <w:t>申请防雷装置检测甲级资质的单位应当符合以下哪些条件？（）</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近三年内开展的防雷装置检测项目不少于</w:t>
      </w:r>
      <w:r>
        <w:rPr>
          <w:rFonts w:hint="eastAsia" w:ascii="Times New Roman" w:hAnsi="Times New Roman" w:eastAsia="宋体" w:cs="Times New Roman"/>
          <w:sz w:val="24"/>
          <w:szCs w:val="24"/>
          <w:lang w:val="en-US" w:eastAsia="zh-CN"/>
        </w:rPr>
        <w:t>二</w:t>
      </w:r>
      <w:r>
        <w:rPr>
          <w:rFonts w:hint="eastAsia" w:ascii="Times New Roman" w:hAnsi="Times New Roman" w:eastAsia="宋体" w:cs="Times New Roman"/>
          <w:sz w:val="24"/>
          <w:szCs w:val="24"/>
        </w:rPr>
        <w:t>百个</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未因检测质量问题引发事故</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通过省级气象主管机构组织的质量考核合格率达百分之九十以上</w:t>
      </w:r>
    </w:p>
    <w:p>
      <w:pPr>
        <w:spacing w:line="40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取得乙级资质三年以上</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bCs/>
          <w:sz w:val="24"/>
          <w:szCs w:val="24"/>
        </w:rPr>
        <w:t>答案</w:t>
      </w:r>
      <w:r>
        <w:rPr>
          <w:rFonts w:hint="eastAsia" w:ascii="Times New Roman" w:hAnsi="Times New Roman" w:eastAsia="宋体" w:cs="Times New Roman"/>
          <w:bCs/>
          <w:sz w:val="24"/>
          <w:szCs w:val="24"/>
        </w:rPr>
        <w:t>：</w:t>
      </w:r>
      <w:r>
        <w:rPr>
          <w:rFonts w:ascii="Times New Roman" w:hAnsi="Times New Roman" w:eastAsia="宋体" w:cs="Times New Roman"/>
          <w:bCs/>
          <w:sz w:val="24"/>
          <w:szCs w:val="24"/>
        </w:rPr>
        <w:t>A</w:t>
      </w:r>
      <w:r>
        <w:rPr>
          <w:rFonts w:ascii="Times New Roman" w:hAnsi="Times New Roman" w:eastAsia="宋体" w:cs="Times New Roman"/>
          <w:sz w:val="24"/>
          <w:szCs w:val="24"/>
        </w:rPr>
        <w:t>BCD</w:t>
      </w:r>
    </w:p>
    <w:p>
      <w:pPr>
        <w:spacing w:line="400" w:lineRule="exact"/>
        <w:ind w:firstLine="480" w:firstLineChars="200"/>
        <w:jc w:val="left"/>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：《雷电防护装置检测资质管理办法》第八条</w:t>
      </w:r>
    </w:p>
    <w:p>
      <w:pPr>
        <w:numPr>
          <w:ilvl w:val="0"/>
          <w:numId w:val="7"/>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申请防雷装置检测资质的单位应当具有与所申请资质等级相适应的（）。</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防雷装置检测能力</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营销能力</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良好信誉</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业务拓展能力</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AC</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雷电防护装置检测资质管理办法》第七条第五项</w:t>
      </w:r>
    </w:p>
    <w:p>
      <w:pPr>
        <w:numPr>
          <w:ilvl w:val="0"/>
          <w:numId w:val="7"/>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kern w:val="0"/>
          <w:sz w:val="24"/>
          <w:szCs w:val="24"/>
        </w:rPr>
        <w:t>申请单位如具有以下哪些情形之一，将不具备申请防雷装置检测甲级资质的条件？（）</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未取得乙级资质</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人员均未在本单位购买社会保险</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相关设备未按时校验</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rPr>
          <w:rFonts w:ascii="Times New Roman" w:hAnsi="Times New Roman" w:eastAsia="宋体" w:cs="Times New Roman"/>
          <w:kern w:val="0"/>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因检测质量问题引起事故</w:t>
      </w:r>
    </w:p>
    <w:p>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kern w:val="0"/>
          <w:sz w:val="24"/>
          <w:szCs w:val="24"/>
        </w:rPr>
        <w:t>ABCD</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雷电防护装置检测资质管理办法》第七条、第八条</w:t>
      </w:r>
    </w:p>
    <w:p>
      <w:pPr>
        <w:numPr>
          <w:ilvl w:val="0"/>
          <w:numId w:val="7"/>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防雷检测资格单位申报资质延续时，原认定机构根据防雷检测资质单位年度报告、信用档案及资质申请条件，在有效期满前作出以下哪些决定？（）</w:t>
      </w:r>
    </w:p>
    <w:p>
      <w:pPr>
        <w:spacing w:line="400" w:lineRule="exact"/>
        <w:ind w:firstLine="480" w:firstLineChars="200"/>
        <w:rPr>
          <w:rFonts w:ascii="Times New Roman" w:hAnsi="Times New Roman" w:eastAsia="宋体" w:cs="Times New Roman"/>
          <w:kern w:val="0"/>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准予延续</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降低等级</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C.</w:t>
      </w:r>
      <w:r>
        <w:rPr>
          <w:rFonts w:hint="eastAsia" w:ascii="Times New Roman" w:hAnsi="Times New Roman" w:eastAsia="宋体" w:cs="Times New Roman"/>
          <w:sz w:val="24"/>
          <w:szCs w:val="24"/>
        </w:rPr>
        <w:t>升级</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注销</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ABD</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雷电防护装置检测资质管理办法》第二十一条</w:t>
      </w:r>
    </w:p>
    <w:p>
      <w:pPr>
        <w:numPr>
          <w:ilvl w:val="0"/>
          <w:numId w:val="7"/>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防雷装置检测单位应当从取得资质证后次年起，在每年的第二季度向资质认定机构报送年度报告。年度报告包括以下哪些内容？（）</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持续符合资质认定条件和要求情况</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执行技术标准和规范情况</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检测项目表以及统计数据</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rPr>
          <w:rFonts w:ascii="Times New Roman" w:hAnsi="Times New Roman" w:eastAsia="宋体" w:cs="Times New Roman"/>
          <w:kern w:val="0"/>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分支机构设立和经营情况</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ABC</w:t>
      </w:r>
      <w:r>
        <w:rPr>
          <w:rFonts w:hint="eastAsia" w:ascii="Times New Roman" w:hAnsi="Times New Roman" w:eastAsia="宋体" w:cs="Times New Roman"/>
          <w:sz w:val="24"/>
          <w:szCs w:val="24"/>
        </w:rPr>
        <w:t>D</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雷电防护装置检测资质管理办法》第二十条第二款</w:t>
      </w:r>
    </w:p>
    <w:p>
      <w:pPr>
        <w:numPr>
          <w:ilvl w:val="0"/>
          <w:numId w:val="7"/>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取得防雷装置检测资质的单位达不到防雷装置检测资质条件的，由原资质认定的气象主管机构责令限期整改，整改后仍达不到资质条件的，可予以以下哪些处理？（）</w:t>
      </w:r>
    </w:p>
    <w:p>
      <w:pPr>
        <w:spacing w:line="400" w:lineRule="exact"/>
        <w:ind w:firstLine="480" w:firstLineChars="200"/>
        <w:rPr>
          <w:rFonts w:ascii="Times New Roman" w:hAnsi="Times New Roman" w:eastAsia="宋体" w:cs="Times New Roman"/>
          <w:kern w:val="0"/>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冻结资质</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重新核定</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C.</w:t>
      </w:r>
      <w:r>
        <w:rPr>
          <w:rFonts w:hint="eastAsia" w:ascii="Times New Roman" w:hAnsi="Times New Roman" w:eastAsia="宋体" w:cs="Times New Roman"/>
          <w:sz w:val="24"/>
          <w:szCs w:val="24"/>
        </w:rPr>
        <w:t>降低等级</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撤销资质</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CD</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雷电防护装置检测资质管理办法》第二十八条</w:t>
      </w:r>
    </w:p>
    <w:p>
      <w:pPr>
        <w:numPr>
          <w:ilvl w:val="0"/>
          <w:numId w:val="7"/>
        </w:numPr>
        <w:spacing w:line="400" w:lineRule="exact"/>
        <w:jc w:val="left"/>
        <w:rPr>
          <w:rFonts w:ascii="Times New Roman" w:hAnsi="Times New Roman" w:eastAsia="宋体" w:cs="Times New Roman"/>
          <w:kern w:val="0"/>
          <w:sz w:val="24"/>
          <w:szCs w:val="24"/>
        </w:rPr>
      </w:pPr>
      <w:r>
        <w:rPr>
          <w:rFonts w:hint="eastAsia" w:ascii="Times New Roman" w:hAnsi="Times New Roman" w:eastAsia="宋体" w:cs="Times New Roman"/>
          <w:sz w:val="24"/>
          <w:szCs w:val="24"/>
        </w:rPr>
        <w:t>根据《</w:t>
      </w:r>
      <w:r>
        <w:rPr>
          <w:rFonts w:hint="eastAsia" w:ascii="Times New Roman" w:hAnsi="Times New Roman" w:eastAsia="宋体" w:cs="Times New Roman"/>
          <w:kern w:val="0"/>
          <w:sz w:val="24"/>
          <w:szCs w:val="24"/>
        </w:rPr>
        <w:t>雷电防护装置检测资质管理办法》规定，以下说法错误的是哪几项？（）</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国家工作人员在防雷装置检测资质认定和管理工作中玩忽职守、滥用职权、徇私舞弊的依法给予党纪处分</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取得防雷装置检测资质的单位在资质证有效期到期后，未提出延续申请的，资质证到期自动失效</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取得防雷装置检测资质的单位跨省、自治区、直辖市变更注册地的，由原注册所在地的省、自治区、直辖市气象主管机构核定资质</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省、自治区、直辖市气象主管机构应当自受理行政许可申请之日起二十个工作日内作出认定，专家评审所需时间不计入许可审查时限</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AC</w:t>
      </w:r>
    </w:p>
    <w:p>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w:t>
      </w:r>
      <w:r>
        <w:rPr>
          <w:rFonts w:hint="eastAsia" w:ascii="Times New Roman" w:hAnsi="Times New Roman" w:eastAsia="宋体" w:cs="Times New Roman"/>
          <w:kern w:val="0"/>
          <w:sz w:val="24"/>
          <w:szCs w:val="24"/>
        </w:rPr>
        <w:t>雷电防护装置检测资质管理办法》第三十二条、第二十一条、第二十二条第二款、第十六条第一款</w:t>
      </w:r>
    </w:p>
    <w:p>
      <w:pPr>
        <w:numPr>
          <w:ilvl w:val="0"/>
          <w:numId w:val="7"/>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公民、法人或者其他组织对气象主管机构作出的下列哪些行政行为不服的，可以申请行政复议？（）</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对气象主管机构作出的警告行政处罚决定</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对气象主管机构作出的不予防雷装置检测资质认定行政许可的决定</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对气象主管机构作出的吊销防雷装置检测资质证行政处罚决定</w:t>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rPr>
          <w:rFonts w:ascii="Times New Roman" w:hAnsi="Times New Roman" w:eastAsia="宋体" w:cs="Times New Roman"/>
          <w:kern w:val="0"/>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对气象部门在法定时间内没有依法办理防雷装置设计审核申请</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ABCD</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：《气象行政复议办法》第四条</w:t>
      </w:r>
    </w:p>
    <w:p>
      <w:pPr>
        <w:numPr>
          <w:ilvl w:val="0"/>
          <w:numId w:val="7"/>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防雷装置检测资质申请单位在申请认定检测资质行政许可过程中，依法享有以下哪些权利？（）</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陈述权、申辩权</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申请行政复议权</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向人民法院提起行政诉讼权</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合法权益受到损害时，要求赔偿权</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ABCD</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：《气象行政许可实施办法》第六条规定“公民、法人或者其他组织对气象主管机构实施的气象行政许可，享有陈述权、申辩权</w:t>
      </w:r>
      <w:r>
        <w:rPr>
          <w:rFonts w:ascii="Times New Roman" w:hAnsi="Times New Roman" w:eastAsia="宋体" w:cs="Times New Roman"/>
          <w:sz w:val="24"/>
          <w:szCs w:val="24"/>
        </w:rPr>
        <w:t>;</w:t>
      </w:r>
      <w:r>
        <w:rPr>
          <w:rFonts w:hint="eastAsia" w:ascii="Times New Roman" w:hAnsi="Times New Roman" w:eastAsia="宋体" w:cs="Times New Roman"/>
          <w:sz w:val="24"/>
          <w:szCs w:val="24"/>
        </w:rPr>
        <w:t>有权依法申请行政复议或者提起行政诉讼</w:t>
      </w:r>
      <w:r>
        <w:rPr>
          <w:rFonts w:ascii="Times New Roman" w:hAnsi="Times New Roman" w:eastAsia="宋体" w:cs="Times New Roman"/>
          <w:sz w:val="24"/>
          <w:szCs w:val="24"/>
        </w:rPr>
        <w:t>;</w:t>
      </w:r>
      <w:r>
        <w:rPr>
          <w:rFonts w:hint="eastAsia" w:ascii="Times New Roman" w:hAnsi="Times New Roman" w:eastAsia="宋体" w:cs="Times New Roman"/>
          <w:sz w:val="24"/>
          <w:szCs w:val="24"/>
        </w:rPr>
        <w:t>其合法权益受到损害的，有权依法要求赔偿。”根据此规定，申请单位在防雷装置检测资质认定行政许可申请过程中，依法享有上述权利。</w:t>
      </w:r>
    </w:p>
    <w:p>
      <w:pPr>
        <w:numPr>
          <w:ilvl w:val="0"/>
          <w:numId w:val="7"/>
        </w:numPr>
        <w:spacing w:line="400" w:lineRule="exact"/>
        <w:jc w:val="left"/>
        <w:rPr>
          <w:rFonts w:ascii="Times New Roman" w:hAnsi="Times New Roman" w:eastAsia="宋体" w:cs="Times New Roman"/>
          <w:sz w:val="24"/>
          <w:szCs w:val="24"/>
        </w:rPr>
      </w:pPr>
      <w:bookmarkStart w:id="22" w:name="_Toc7359858"/>
      <w:r>
        <w:rPr>
          <w:rFonts w:hint="eastAsia" w:ascii="Times New Roman" w:hAnsi="Times New Roman" w:eastAsia="宋体" w:cs="Times New Roman"/>
          <w:sz w:val="24"/>
          <w:szCs w:val="24"/>
        </w:rPr>
        <w:t>根据《气象行政许可实施办法》，有下列哪些情形之一的，气象主管机构应当办理注销防雷装置检测单位资质行政许可手续？（）</w:t>
      </w:r>
    </w:p>
    <w:p>
      <w:pPr>
        <w:spacing w:line="400" w:lineRule="exact"/>
        <w:ind w:firstLine="480" w:firstLineChars="200"/>
        <w:rPr>
          <w:rFonts w:ascii="Times New Roman" w:hAnsi="Times New Roman" w:eastAsia="宋体" w:cs="Times New Roman"/>
          <w:sz w:val="24"/>
          <w:szCs w:val="24"/>
        </w:rPr>
      </w:pPr>
      <w:bookmarkStart w:id="23" w:name="_Toc7359853"/>
      <w:r>
        <w:rPr>
          <w:rFonts w:ascii="Times New Roman" w:hAnsi="Times New Roman" w:eastAsia="宋体" w:cs="Times New Roman"/>
          <w:sz w:val="24"/>
          <w:szCs w:val="24"/>
        </w:rPr>
        <w:t>A.</w:t>
      </w:r>
      <w:r>
        <w:rPr>
          <w:rFonts w:hint="eastAsia" w:ascii="Times New Roman" w:hAnsi="Times New Roman" w:eastAsia="宋体" w:cs="Times New Roman"/>
          <w:sz w:val="24"/>
          <w:szCs w:val="24"/>
        </w:rPr>
        <w:t>防雷装置检测单位资质证有效期满未延续的</w:t>
      </w:r>
    </w:p>
    <w:bookmarkEnd w:id="23"/>
    <w:p>
      <w:pPr>
        <w:spacing w:line="400" w:lineRule="exact"/>
        <w:ind w:firstLine="480" w:firstLineChars="200"/>
      </w:pPr>
      <w:r>
        <w:rPr>
          <w:rFonts w:ascii="Times New Roman" w:hAnsi="Times New Roman" w:eastAsia="宋体" w:cs="Times New Roman"/>
          <w:sz w:val="24"/>
          <w:szCs w:val="24"/>
        </w:rPr>
        <w:t>B.</w:t>
      </w:r>
      <w:r>
        <w:rPr>
          <w:rFonts w:hint="eastAsia" w:ascii="Times New Roman" w:hAnsi="Times New Roman" w:eastAsia="宋体" w:cs="Times New Roman"/>
          <w:sz w:val="24"/>
          <w:szCs w:val="24"/>
        </w:rPr>
        <w:t>检测资质单位法人依法终止的</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检测资质证依法被吊销的</w:t>
      </w:r>
    </w:p>
    <w:p>
      <w:pPr>
        <w:spacing w:line="400" w:lineRule="exact"/>
        <w:ind w:firstLine="480" w:firstLineChars="200"/>
        <w:rPr>
          <w:rFonts w:ascii="Times New Roman" w:hAnsi="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检测资质证依法被撤销、撤回的</w:t>
      </w:r>
    </w:p>
    <w:p>
      <w:pPr>
        <w:spacing w:line="400" w:lineRule="exact"/>
        <w:ind w:left="480"/>
        <w:rPr>
          <w:rFonts w:ascii="Times New Roman" w:hAnsi="Times New Roman"/>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sz w:val="24"/>
          <w:szCs w:val="24"/>
        </w:rPr>
        <w:t>ABCD</w:t>
      </w:r>
    </w:p>
    <w:p>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：《气象行政许可实施办法》</w:t>
      </w:r>
      <w:r>
        <w:rPr>
          <w:rFonts w:hint="eastAsia" w:ascii="Times New Roman" w:hAnsi="Times New Roman" w:eastAsia="宋体" w:cs="Times New Roman"/>
          <w:kern w:val="0"/>
          <w:sz w:val="24"/>
          <w:szCs w:val="24"/>
        </w:rPr>
        <w:t>第三十五条</w:t>
      </w:r>
    </w:p>
    <w:p>
      <w:pPr>
        <w:numPr>
          <w:ilvl w:val="0"/>
          <w:numId w:val="7"/>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根据相关法规规章规定，以下哪些说法是正确的？</w:t>
      </w:r>
      <w:bookmarkEnd w:id="22"/>
      <w:r>
        <w:rPr>
          <w:rFonts w:hint="eastAsia" w:ascii="Times New Roman" w:hAnsi="Times New Roman" w:eastAsia="宋体" w:cs="Times New Roman"/>
          <w:sz w:val="24"/>
          <w:szCs w:val="24"/>
        </w:rPr>
        <w:t>（）</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在上海市取得防雷装置检测资质的公司，只能在上海市从事防雷装置检测活动</w:t>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rPr>
          <w:rFonts w:hint="eastAsia"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雷电防护装置检测单位不得与其检测项目的设计、施工、监理单位以及所使用的防雷产品生产、销售单位有隶属关系或者其他利害关系。</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取得防雷装置检测资质的单位合并的，合并后存续或者新设立的单位可以承继合并前各方中较高等级的资质，但应当符合相应的资质条件</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bookmarkStart w:id="24" w:name="_Toc7359850"/>
      <w:r>
        <w:rPr>
          <w:rFonts w:hint="eastAsia" w:ascii="Times New Roman" w:hAnsi="Times New Roman" w:eastAsia="宋体" w:cs="Times New Roman"/>
          <w:sz w:val="24"/>
          <w:szCs w:val="24"/>
        </w:rPr>
        <w:t>电力、通信防雷装置检测资质管理适用《雷电防护装置检测资质管理办法》</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黑体" w:cs="Times New Roman"/>
          <w:sz w:val="24"/>
          <w:szCs w:val="24"/>
        </w:rPr>
        <w:t>答案</w:t>
      </w:r>
      <w:r>
        <w:rPr>
          <w:rFonts w:hint="eastAsia" w:ascii="Times New Roman" w:hAnsi="Times New Roman" w:eastAsia="宋体" w:cs="Times New Roman"/>
          <w:sz w:val="24"/>
          <w:szCs w:val="24"/>
        </w:rPr>
        <w:t>：</w:t>
      </w:r>
      <w:r>
        <w:rPr>
          <w:rFonts w:ascii="Times New Roman" w:hAnsi="Times New Roman" w:eastAsia="宋体" w:cs="Times New Roman"/>
          <w:sz w:val="24"/>
          <w:szCs w:val="24"/>
        </w:rPr>
        <w:t>BC</w:t>
      </w:r>
    </w:p>
    <w:p>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黑体" w:cs="Times New Roman"/>
          <w:sz w:val="24"/>
          <w:szCs w:val="24"/>
        </w:rPr>
        <w:t>解析</w:t>
      </w:r>
      <w:r>
        <w:rPr>
          <w:rFonts w:hint="eastAsia" w:ascii="Times New Roman" w:hAnsi="Times New Roman" w:eastAsia="宋体" w:cs="Times New Roman"/>
          <w:sz w:val="24"/>
          <w:szCs w:val="24"/>
        </w:rPr>
        <w:t>：《雷电防护装置检测资质管理办法》</w:t>
      </w:r>
      <w:bookmarkEnd w:id="24"/>
      <w:r>
        <w:rPr>
          <w:rFonts w:hint="eastAsia" w:ascii="Times New Roman" w:hAnsi="Times New Roman" w:eastAsia="宋体" w:cs="Times New Roman"/>
          <w:kern w:val="0"/>
          <w:sz w:val="24"/>
          <w:szCs w:val="24"/>
        </w:rPr>
        <w:t>第十九条、第二十二条第二款、第三十七条</w:t>
      </w:r>
    </w:p>
    <w:p>
      <w:pPr>
        <w:pStyle w:val="137"/>
        <w:spacing w:before="156" w:line="400" w:lineRule="exact"/>
        <w:rPr>
          <w:rFonts w:ascii="Times New Roman" w:hAnsi="Times New Roman"/>
        </w:rPr>
      </w:pPr>
      <w:bookmarkStart w:id="25" w:name="_Toc36220931"/>
      <w:bookmarkStart w:id="26" w:name="_Toc26455966"/>
      <w:bookmarkStart w:id="27" w:name="_Toc25938013"/>
      <w:bookmarkStart w:id="28" w:name="_Toc25937885"/>
      <w:r>
        <w:rPr>
          <w:rFonts w:hint="eastAsia" w:ascii="Times New Roman" w:hAnsi="Times New Roman"/>
        </w:rPr>
        <w:t>三 判断题</w:t>
      </w:r>
      <w:bookmarkEnd w:id="25"/>
      <w:bookmarkEnd w:id="26"/>
      <w:bookmarkEnd w:id="27"/>
      <w:bookmarkEnd w:id="28"/>
    </w:p>
    <w:p>
      <w:pPr>
        <w:numPr>
          <w:ilvl w:val="0"/>
          <w:numId w:val="8"/>
        </w:numPr>
        <w:spacing w:line="400" w:lineRule="exact"/>
        <w:jc w:val="left"/>
        <w:rPr>
          <w:rFonts w:ascii="Times New Roman" w:hAnsi="Times New Roman" w:cs="Times New Roman"/>
          <w:sz w:val="24"/>
          <w:szCs w:val="24"/>
        </w:rPr>
      </w:pPr>
      <w:r>
        <w:rPr>
          <w:rFonts w:hint="eastAsia" w:ascii="Times New Roman" w:hAnsi="Times New Roman" w:eastAsia="宋体" w:cs="Times New Roman"/>
          <w:sz w:val="24"/>
          <w:szCs w:val="24"/>
        </w:rPr>
        <w:t>气象计量器具应当依照《中华人民共和国计量法》的有关规定，经省级气象主管机构检定。（）</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ascii="Times New Roman" w:hAnsi="Times New Roman"/>
          <w:sz w:val="24"/>
          <w:szCs w:val="24"/>
        </w:rPr>
      </w:pPr>
      <w:r>
        <w:rPr>
          <w:rFonts w:hint="eastAsia" w:ascii="Times New Roman" w:hAnsi="Times New Roman" w:eastAsia="黑体"/>
          <w:sz w:val="24"/>
          <w:szCs w:val="24"/>
        </w:rPr>
        <w:t>解析</w:t>
      </w:r>
      <w:r>
        <w:rPr>
          <w:rFonts w:hint="eastAsia" w:ascii="Times New Roman" w:hAnsi="Times New Roman"/>
          <w:sz w:val="24"/>
          <w:szCs w:val="24"/>
        </w:rPr>
        <w:t>：《中华人民共和国气象法》第十四条第一款</w:t>
      </w:r>
    </w:p>
    <w:p>
      <w:pPr>
        <w:numPr>
          <w:ilvl w:val="0"/>
          <w:numId w:val="9"/>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外国组织和个人在中华人民共和国管辖的其他海域从事防雷减灾活动，应当经当地省级气象主管机构的批准。（）</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ascii="Times New Roman" w:hAnsi="Times New Roman"/>
          <w:sz w:val="24"/>
          <w:szCs w:val="24"/>
        </w:rPr>
      </w:pPr>
      <w:r>
        <w:rPr>
          <w:rFonts w:hint="eastAsia" w:ascii="Times New Roman" w:hAnsi="Times New Roman" w:eastAsia="黑体"/>
          <w:sz w:val="24"/>
          <w:szCs w:val="24"/>
        </w:rPr>
        <w:t>解析</w:t>
      </w:r>
      <w:r>
        <w:rPr>
          <w:rFonts w:hint="eastAsia" w:ascii="Times New Roman" w:hAnsi="Times New Roman"/>
          <w:sz w:val="24"/>
          <w:szCs w:val="24"/>
        </w:rPr>
        <w:t>：</w:t>
      </w:r>
      <w:r>
        <w:rPr>
          <w:rFonts w:hint="eastAsia" w:ascii="Times New Roman" w:hAnsi="Times New Roman" w:eastAsia="方正楷体_GBK"/>
          <w:sz w:val="24"/>
          <w:szCs w:val="24"/>
        </w:rPr>
        <w:t>《</w:t>
      </w:r>
      <w:r>
        <w:rPr>
          <w:rFonts w:hint="eastAsia" w:ascii="Times New Roman" w:hAnsi="Times New Roman"/>
          <w:sz w:val="24"/>
          <w:szCs w:val="24"/>
        </w:rPr>
        <w:t>防雷减灾管理办法</w:t>
      </w:r>
      <w:r>
        <w:rPr>
          <w:rFonts w:hint="eastAsia" w:ascii="Times New Roman" w:hAnsi="Times New Roman" w:eastAsia="方正楷体_GBK"/>
          <w:sz w:val="24"/>
          <w:szCs w:val="24"/>
        </w:rPr>
        <w:t>》</w:t>
      </w:r>
      <w:r>
        <w:rPr>
          <w:rFonts w:hint="eastAsia" w:ascii="Times New Roman" w:hAnsi="Times New Roman"/>
          <w:sz w:val="24"/>
          <w:szCs w:val="24"/>
        </w:rPr>
        <w:t>第六条</w:t>
      </w:r>
    </w:p>
    <w:p>
      <w:pPr>
        <w:numPr>
          <w:ilvl w:val="0"/>
          <w:numId w:val="9"/>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行业主管单位必须为从业人员提供符合国家标准或者行业标准的劳动防护用品，并监督、教育从业人员按照使用规则佩戴、使用。（）</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ascii="Times New Roman" w:hAnsi="Times New Roman"/>
          <w:sz w:val="24"/>
          <w:szCs w:val="24"/>
        </w:rPr>
      </w:pPr>
      <w:r>
        <w:rPr>
          <w:rFonts w:hint="eastAsia" w:ascii="Times New Roman" w:hAnsi="Times New Roman" w:eastAsia="黑体"/>
          <w:sz w:val="24"/>
          <w:szCs w:val="24"/>
        </w:rPr>
        <w:t>解析</w:t>
      </w:r>
      <w:r>
        <w:rPr>
          <w:rFonts w:hint="eastAsia" w:ascii="Times New Roman" w:hAnsi="Times New Roman"/>
          <w:sz w:val="24"/>
          <w:szCs w:val="24"/>
        </w:rPr>
        <w:t>：《中华人民共和国安全生产法》第四十</w:t>
      </w:r>
      <w:r>
        <w:rPr>
          <w:rFonts w:hint="eastAsia" w:ascii="Times New Roman" w:hAnsi="Times New Roman"/>
          <w:sz w:val="24"/>
          <w:szCs w:val="24"/>
          <w:lang w:val="en-US" w:eastAsia="zh-CN"/>
        </w:rPr>
        <w:t>五</w:t>
      </w:r>
      <w:r>
        <w:rPr>
          <w:rFonts w:hint="eastAsia" w:ascii="Times New Roman" w:hAnsi="Times New Roman"/>
          <w:sz w:val="24"/>
          <w:szCs w:val="24"/>
        </w:rPr>
        <w:t>条</w:t>
      </w:r>
    </w:p>
    <w:p>
      <w:pPr>
        <w:numPr>
          <w:ilvl w:val="0"/>
          <w:numId w:val="9"/>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生产经营单位将生产经营项目、场所发包或者出租给具备安全生产条件或者相应资质的其他单位的，生产经营单位应当与承包单位、承租单位签订专门的安全生产管理协议，或者在承包合同、租赁合同中约定各自的安全生产管理职责。（）</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ascii="Times New Roman" w:hAnsi="Times New Roman"/>
          <w:sz w:val="24"/>
          <w:szCs w:val="24"/>
        </w:rPr>
      </w:pPr>
      <w:r>
        <w:rPr>
          <w:rFonts w:hint="eastAsia" w:ascii="Times New Roman" w:hAnsi="Times New Roman" w:eastAsia="黑体"/>
          <w:sz w:val="24"/>
          <w:szCs w:val="24"/>
        </w:rPr>
        <w:t>解析</w:t>
      </w:r>
      <w:r>
        <w:rPr>
          <w:rFonts w:hint="eastAsia" w:ascii="Times New Roman" w:hAnsi="Times New Roman"/>
          <w:sz w:val="24"/>
          <w:szCs w:val="24"/>
        </w:rPr>
        <w:t>：《中华人民共和国安全生产法》第四十</w:t>
      </w:r>
      <w:r>
        <w:rPr>
          <w:rFonts w:hint="eastAsia" w:ascii="Times New Roman" w:hAnsi="Times New Roman"/>
          <w:sz w:val="24"/>
          <w:szCs w:val="24"/>
          <w:lang w:val="en-US" w:eastAsia="zh-CN"/>
        </w:rPr>
        <w:t>九</w:t>
      </w:r>
      <w:r>
        <w:rPr>
          <w:rFonts w:hint="eastAsia" w:ascii="Times New Roman" w:hAnsi="Times New Roman"/>
          <w:sz w:val="24"/>
          <w:szCs w:val="24"/>
        </w:rPr>
        <w:t>条</w:t>
      </w:r>
    </w:p>
    <w:p>
      <w:pPr>
        <w:numPr>
          <w:ilvl w:val="0"/>
          <w:numId w:val="9"/>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《建筑物防雷设计规范》规定的第一、二、三类防雷建筑物的防雷装置全部应当经过设计审核和竣工验收。（）</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ascii="Times New Roman" w:hAnsi="Times New Roman"/>
          <w:sz w:val="24"/>
          <w:szCs w:val="24"/>
        </w:rPr>
      </w:pPr>
      <w:r>
        <w:rPr>
          <w:rFonts w:hint="eastAsia" w:ascii="Times New Roman" w:hAnsi="Times New Roman" w:eastAsia="黑体"/>
          <w:sz w:val="24"/>
          <w:szCs w:val="24"/>
        </w:rPr>
        <w:t>解析</w:t>
      </w:r>
      <w:r>
        <w:rPr>
          <w:rFonts w:hint="eastAsia" w:ascii="Times New Roman" w:hAnsi="Times New Roman"/>
          <w:sz w:val="24"/>
          <w:szCs w:val="24"/>
        </w:rPr>
        <w:t>：《雷电防护装置设计审核和竣工验收规定》第四条</w:t>
      </w:r>
    </w:p>
    <w:p>
      <w:pPr>
        <w:numPr>
          <w:ilvl w:val="0"/>
          <w:numId w:val="9"/>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防雷装置检测资质等级分为甲、乙两级，其中甲级资质的管理和认定工作由国务院气象主管机构负责。（）</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ascii="Times New Roman" w:hAnsi="Times New Roman"/>
          <w:sz w:val="24"/>
          <w:szCs w:val="24"/>
        </w:rPr>
      </w:pPr>
      <w:r>
        <w:rPr>
          <w:rFonts w:hint="eastAsia" w:ascii="Times New Roman" w:hAnsi="Times New Roman" w:eastAsia="黑体"/>
          <w:sz w:val="24"/>
          <w:szCs w:val="24"/>
        </w:rPr>
        <w:t>解析</w:t>
      </w:r>
      <w:r>
        <w:rPr>
          <w:rFonts w:hint="eastAsia" w:ascii="Times New Roman" w:hAnsi="Times New Roman"/>
          <w:sz w:val="24"/>
          <w:szCs w:val="24"/>
        </w:rPr>
        <w:t>：《雷电防护装置检测资质管理办法》第三条</w:t>
      </w:r>
    </w:p>
    <w:p>
      <w:pPr>
        <w:numPr>
          <w:ilvl w:val="0"/>
          <w:numId w:val="9"/>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被许可单位以欺骗、贿赂等不正当手段取得资质的，有关气象主管机构按照权限给予警告，撤销其资质证；被许可单位在两年内不得再次申请资质认定。（）</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ascii="Times New Roman" w:hAnsi="Times New Roman"/>
          <w:sz w:val="24"/>
          <w:szCs w:val="24"/>
        </w:rPr>
      </w:pPr>
      <w:r>
        <w:rPr>
          <w:rFonts w:hint="eastAsia" w:ascii="Times New Roman" w:hAnsi="Times New Roman" w:eastAsia="黑体"/>
          <w:sz w:val="24"/>
          <w:szCs w:val="24"/>
        </w:rPr>
        <w:t>解析</w:t>
      </w:r>
      <w:r>
        <w:rPr>
          <w:rFonts w:hint="eastAsia" w:ascii="Times New Roman" w:hAnsi="Times New Roman"/>
          <w:sz w:val="24"/>
          <w:szCs w:val="24"/>
        </w:rPr>
        <w:t>：《雷电防护装置检测资质管理办法》第三十四条</w:t>
      </w:r>
    </w:p>
    <w:p>
      <w:pPr>
        <w:numPr>
          <w:ilvl w:val="0"/>
          <w:numId w:val="9"/>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房屋建筑工程和市政基础设施工程防雷装置的设计审核由县级以上地方气象主管机构负责审批。（）</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ascii="Times New Roman" w:hAnsi="Times New Roman"/>
          <w:sz w:val="24"/>
          <w:szCs w:val="24"/>
        </w:rPr>
      </w:pPr>
      <w:r>
        <w:rPr>
          <w:rFonts w:hint="eastAsia" w:ascii="Times New Roman" w:hAnsi="Times New Roman" w:eastAsia="黑体"/>
          <w:sz w:val="24"/>
          <w:szCs w:val="24"/>
        </w:rPr>
        <w:t>解析</w:t>
      </w:r>
      <w:r>
        <w:rPr>
          <w:rFonts w:hint="eastAsia" w:ascii="Times New Roman" w:hAnsi="Times New Roman"/>
          <w:sz w:val="24"/>
          <w:szCs w:val="24"/>
        </w:rPr>
        <w:t>：《气象灾害防御条例》第二十三条</w:t>
      </w:r>
    </w:p>
    <w:p>
      <w:pPr>
        <w:numPr>
          <w:ilvl w:val="0"/>
          <w:numId w:val="9"/>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生产经营单位必须依法参加工伤保险，为从业人员缴纳保险费。（）</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解析</w:t>
      </w:r>
      <w:r>
        <w:rPr>
          <w:rFonts w:hint="eastAsia" w:ascii="Times New Roman" w:hAnsi="Times New Roman"/>
          <w:sz w:val="24"/>
          <w:szCs w:val="24"/>
        </w:rPr>
        <w:t>：《中华人民共和国安全生产法》第</w:t>
      </w:r>
      <w:r>
        <w:rPr>
          <w:rFonts w:hint="eastAsia" w:ascii="Times New Roman" w:hAnsi="Times New Roman"/>
          <w:sz w:val="24"/>
          <w:szCs w:val="24"/>
          <w:lang w:val="en-US" w:eastAsia="zh-CN"/>
        </w:rPr>
        <w:t>五十一</w:t>
      </w:r>
      <w:r>
        <w:rPr>
          <w:rFonts w:hint="eastAsia" w:ascii="Times New Roman" w:hAnsi="Times New Roman"/>
          <w:sz w:val="24"/>
          <w:szCs w:val="24"/>
        </w:rPr>
        <w:t>条</w:t>
      </w:r>
    </w:p>
    <w:p>
      <w:pPr>
        <w:numPr>
          <w:ilvl w:val="0"/>
          <w:numId w:val="9"/>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督促落实本单位安全生产整改措施属于生产经营单位的安全生产管理机构以及安全生产管理人员的职责。（）</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解析</w:t>
      </w:r>
      <w:r>
        <w:rPr>
          <w:rFonts w:hint="eastAsia" w:ascii="Times New Roman" w:hAnsi="Times New Roman"/>
          <w:sz w:val="24"/>
          <w:szCs w:val="24"/>
        </w:rPr>
        <w:t>：《中华人民共和国安全生产法》第二十</w:t>
      </w:r>
      <w:r>
        <w:rPr>
          <w:rFonts w:hint="eastAsia" w:ascii="Times New Roman" w:hAnsi="Times New Roman"/>
          <w:sz w:val="24"/>
          <w:szCs w:val="24"/>
          <w:lang w:val="en-US" w:eastAsia="zh-CN"/>
        </w:rPr>
        <w:t>五</w:t>
      </w:r>
      <w:r>
        <w:rPr>
          <w:rFonts w:hint="eastAsia" w:ascii="Times New Roman" w:hAnsi="Times New Roman"/>
          <w:sz w:val="24"/>
          <w:szCs w:val="24"/>
        </w:rPr>
        <w:t>条</w:t>
      </w:r>
    </w:p>
    <w:p>
      <w:pPr>
        <w:numPr>
          <w:ilvl w:val="0"/>
          <w:numId w:val="9"/>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接受安全生产监督检查的单位需停止正常生产经营活动直至检查活动结束。（）</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解析</w:t>
      </w:r>
      <w:r>
        <w:rPr>
          <w:rFonts w:hint="eastAsia" w:ascii="Times New Roman" w:hAnsi="Times New Roman"/>
          <w:sz w:val="24"/>
          <w:szCs w:val="24"/>
        </w:rPr>
        <w:t>：《中华人民共和国安全生产法》第六十</w:t>
      </w:r>
      <w:r>
        <w:rPr>
          <w:rFonts w:hint="eastAsia" w:ascii="Times New Roman" w:hAnsi="Times New Roman"/>
          <w:sz w:val="24"/>
          <w:szCs w:val="24"/>
          <w:lang w:val="en-US" w:eastAsia="zh-CN"/>
        </w:rPr>
        <w:t>五</w:t>
      </w:r>
      <w:r>
        <w:rPr>
          <w:rFonts w:hint="eastAsia" w:ascii="Times New Roman" w:hAnsi="Times New Roman"/>
          <w:sz w:val="24"/>
          <w:szCs w:val="24"/>
        </w:rPr>
        <w:t>条</w:t>
      </w:r>
    </w:p>
    <w:p>
      <w:pPr>
        <w:numPr>
          <w:ilvl w:val="0"/>
          <w:numId w:val="9"/>
        </w:numPr>
        <w:spacing w:line="400" w:lineRule="exact"/>
        <w:jc w:val="left"/>
        <w:rPr>
          <w:rFonts w:ascii="Times New Roman" w:hAnsi="Times New Roman" w:cs="Times New Roman"/>
          <w:sz w:val="24"/>
          <w:szCs w:val="24"/>
        </w:rPr>
      </w:pPr>
      <w:r>
        <w:rPr>
          <w:rFonts w:hint="eastAsia" w:ascii="Times New Roman" w:hAnsi="Times New Roman" w:eastAsia="宋体" w:cs="Times New Roman"/>
          <w:sz w:val="24"/>
          <w:szCs w:val="24"/>
        </w:rPr>
        <w:t>在雷电防护装置检测中弄虚作假的可以处</w:t>
      </w:r>
      <w:r>
        <w:rPr>
          <w:rFonts w:ascii="Times New Roman" w:hAnsi="Times New Roman" w:eastAsia="宋体" w:cs="Times New Roman"/>
          <w:sz w:val="24"/>
          <w:szCs w:val="24"/>
        </w:rPr>
        <w:t>5</w:t>
      </w:r>
      <w:r>
        <w:rPr>
          <w:rFonts w:hint="eastAsia" w:ascii="Times New Roman" w:hAnsi="Times New Roman" w:eastAsia="宋体" w:cs="Times New Roman"/>
          <w:sz w:val="24"/>
          <w:szCs w:val="24"/>
        </w:rPr>
        <w:t>万元以下的罚款。（）</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ascii="Times New Roman" w:hAnsi="Times New Roman"/>
          <w:sz w:val="24"/>
          <w:szCs w:val="24"/>
        </w:rPr>
      </w:pPr>
      <w:r>
        <w:rPr>
          <w:rFonts w:hint="eastAsia" w:ascii="Times New Roman" w:hAnsi="Times New Roman" w:eastAsia="黑体"/>
          <w:sz w:val="24"/>
          <w:szCs w:val="24"/>
        </w:rPr>
        <w:t>解析</w:t>
      </w:r>
      <w:r>
        <w:rPr>
          <w:rFonts w:hint="eastAsia" w:ascii="Times New Roman" w:hAnsi="Times New Roman"/>
          <w:sz w:val="24"/>
          <w:szCs w:val="24"/>
        </w:rPr>
        <w:t>：《气象灾害防御条例》第四十五条</w:t>
      </w:r>
    </w:p>
    <w:p>
      <w:pPr>
        <w:numPr>
          <w:ilvl w:val="0"/>
          <w:numId w:val="9"/>
        </w:numPr>
        <w:spacing w:line="400" w:lineRule="exact"/>
        <w:jc w:val="left"/>
        <w:rPr>
          <w:rFonts w:ascii="Times New Roman" w:hAnsi="Times New Roman" w:cs="Times New Roman"/>
          <w:sz w:val="24"/>
          <w:szCs w:val="24"/>
        </w:rPr>
      </w:pPr>
      <w:r>
        <w:rPr>
          <w:rFonts w:hint="eastAsia" w:ascii="Times New Roman" w:hAnsi="Times New Roman" w:eastAsia="宋体" w:cs="Times New Roman"/>
          <w:sz w:val="24"/>
          <w:szCs w:val="24"/>
        </w:rPr>
        <w:t>《防雷装置检测资质证》分正本和副本，由各级气象主管机构印制。（）</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ascii="Times New Roman" w:hAnsi="Times New Roman"/>
          <w:sz w:val="24"/>
          <w:szCs w:val="24"/>
        </w:rPr>
      </w:pPr>
      <w:r>
        <w:rPr>
          <w:rFonts w:hint="eastAsia" w:ascii="Times New Roman" w:hAnsi="Times New Roman" w:eastAsia="黑体"/>
          <w:sz w:val="24"/>
          <w:szCs w:val="24"/>
        </w:rPr>
        <w:t>解析</w:t>
      </w:r>
      <w:r>
        <w:rPr>
          <w:rFonts w:hint="eastAsia" w:ascii="Times New Roman" w:hAnsi="Times New Roman"/>
          <w:sz w:val="24"/>
          <w:szCs w:val="24"/>
        </w:rPr>
        <w:t>：《雷电防护装置检测资质管理办法》第五条</w:t>
      </w:r>
    </w:p>
    <w:p>
      <w:pPr>
        <w:numPr>
          <w:ilvl w:val="0"/>
          <w:numId w:val="9"/>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油库、气库、弹药库、化学品仓库和烟花爆竹、石化等易燃易爆建设工程和场所，其雷电防护装置的设计审核和竣工验收由省级气象主管机构负责。（）</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ascii="Times New Roman" w:hAnsi="Times New Roman"/>
          <w:sz w:val="24"/>
          <w:szCs w:val="24"/>
        </w:rPr>
      </w:pPr>
      <w:r>
        <w:rPr>
          <w:rFonts w:hint="eastAsia" w:ascii="Times New Roman" w:hAnsi="Times New Roman" w:eastAsia="黑体"/>
          <w:sz w:val="24"/>
          <w:szCs w:val="24"/>
        </w:rPr>
        <w:t>解析</w:t>
      </w:r>
      <w:r>
        <w:rPr>
          <w:rFonts w:hint="eastAsia" w:ascii="Times New Roman" w:hAnsi="Times New Roman"/>
          <w:sz w:val="24"/>
          <w:szCs w:val="24"/>
        </w:rPr>
        <w:t>：《气象灾害防御条例》第二十三条第三款</w:t>
      </w:r>
    </w:p>
    <w:p>
      <w:pPr>
        <w:numPr>
          <w:ilvl w:val="0"/>
          <w:numId w:val="9"/>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根据《中华人民共和国安全生产法》规定，生产经营单位应当建立相应的机制，加强对</w:t>
      </w:r>
      <w:r>
        <w:rPr>
          <w:rFonts w:hint="eastAsia" w:ascii="Times New Roman" w:hAnsi="Times New Roman" w:eastAsia="宋体" w:cs="Times New Roman"/>
          <w:sz w:val="24"/>
          <w:szCs w:val="24"/>
          <w:lang w:val="en-US" w:eastAsia="zh-CN"/>
        </w:rPr>
        <w:t>全员</w:t>
      </w:r>
      <w:r>
        <w:rPr>
          <w:rFonts w:hint="eastAsia" w:ascii="Times New Roman" w:hAnsi="Times New Roman" w:eastAsia="宋体" w:cs="Times New Roman"/>
          <w:sz w:val="24"/>
          <w:szCs w:val="24"/>
        </w:rPr>
        <w:t>安全生产责任制落实情况的监督考核，</w:t>
      </w:r>
      <w:r>
        <w:rPr>
          <w:rFonts w:hint="eastAsia" w:ascii="Times New Roman" w:hAnsi="Times New Roman" w:eastAsia="宋体" w:cs="Times New Roman"/>
          <w:sz w:val="24"/>
          <w:szCs w:val="24"/>
          <w:lang w:val="en-US" w:eastAsia="zh-CN"/>
        </w:rPr>
        <w:t>保证安全</w:t>
      </w:r>
      <w:r>
        <w:rPr>
          <w:rFonts w:hint="eastAsia" w:ascii="Times New Roman" w:hAnsi="Times New Roman" w:eastAsia="宋体" w:cs="Times New Roman"/>
          <w:sz w:val="24"/>
          <w:szCs w:val="24"/>
        </w:rPr>
        <w:t>生产</w:t>
      </w:r>
      <w:r>
        <w:rPr>
          <w:rFonts w:hint="eastAsia" w:ascii="Times New Roman" w:hAnsi="Times New Roman" w:eastAsia="宋体" w:cs="Times New Roman"/>
          <w:sz w:val="24"/>
          <w:szCs w:val="24"/>
          <w:lang w:val="en-US" w:eastAsia="zh-CN"/>
        </w:rPr>
        <w:t>责任制</w:t>
      </w:r>
      <w:bookmarkStart w:id="30" w:name="_GoBack"/>
      <w:r>
        <w:rPr>
          <w:rFonts w:hint="eastAsia" w:ascii="Times New Roman" w:hAnsi="Times New Roman" w:eastAsia="宋体" w:cs="Times New Roman"/>
          <w:sz w:val="24"/>
          <w:szCs w:val="24"/>
          <w:lang w:val="en-US" w:eastAsia="zh-CN"/>
        </w:rPr>
        <w:t>的落实</w:t>
      </w:r>
      <w:r>
        <w:rPr>
          <w:rFonts w:hint="eastAsia" w:ascii="Times New Roman" w:hAnsi="Times New Roman" w:eastAsia="宋体" w:cs="Times New Roman"/>
          <w:sz w:val="24"/>
          <w:szCs w:val="24"/>
        </w:rPr>
        <w:t>。（）</w:t>
      </w:r>
    </w:p>
    <w:bookmarkEnd w:id="30"/>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hint="eastAsia" w:ascii="Times New Roman" w:hAnsi="Times New Roman" w:eastAsia="宋体"/>
          <w:sz w:val="24"/>
          <w:szCs w:val="24"/>
          <w:lang w:val="en-US" w:eastAsia="zh-CN"/>
        </w:rPr>
      </w:pPr>
      <w:r>
        <w:rPr>
          <w:rFonts w:hint="eastAsia" w:ascii="Times New Roman" w:hAnsi="Times New Roman" w:eastAsia="黑体"/>
          <w:sz w:val="24"/>
          <w:szCs w:val="24"/>
        </w:rPr>
        <w:t>解析</w:t>
      </w:r>
      <w:r>
        <w:rPr>
          <w:rFonts w:hint="eastAsia" w:ascii="Times New Roman" w:hAnsi="Times New Roman"/>
          <w:sz w:val="24"/>
          <w:szCs w:val="24"/>
        </w:rPr>
        <w:t>：《中华人民共和国安全生产法》第</w:t>
      </w:r>
      <w:r>
        <w:rPr>
          <w:rFonts w:hint="eastAsia" w:ascii="Times New Roman" w:hAnsi="Times New Roman"/>
          <w:sz w:val="24"/>
          <w:szCs w:val="24"/>
          <w:lang w:val="en-US" w:eastAsia="zh-CN"/>
        </w:rPr>
        <w:t>二十二</w:t>
      </w:r>
      <w:r>
        <w:rPr>
          <w:rFonts w:hint="eastAsia" w:ascii="Times New Roman" w:hAnsi="Times New Roman"/>
          <w:sz w:val="24"/>
          <w:szCs w:val="24"/>
        </w:rPr>
        <w:t>条</w:t>
      </w:r>
      <w:r>
        <w:rPr>
          <w:rFonts w:hint="eastAsia" w:ascii="Times New Roman" w:hAnsi="Times New Roman"/>
          <w:sz w:val="24"/>
          <w:szCs w:val="24"/>
          <w:lang w:val="en-US" w:eastAsia="zh-CN"/>
        </w:rPr>
        <w:t>第二款</w:t>
      </w:r>
    </w:p>
    <w:p>
      <w:pPr>
        <w:numPr>
          <w:ilvl w:val="0"/>
          <w:numId w:val="9"/>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具有通信专业的中级或高级专业技术职称的人员不可作为技术人员从事防雷装置检测工作。（）</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解析</w:t>
      </w:r>
      <w:r>
        <w:rPr>
          <w:rFonts w:hint="eastAsia" w:ascii="Times New Roman" w:hAnsi="Times New Roman"/>
          <w:sz w:val="24"/>
          <w:szCs w:val="24"/>
        </w:rPr>
        <w:t>：《雷电防护装置检测资质管理办法》第七条第三项</w:t>
      </w:r>
    </w:p>
    <w:p>
      <w:pPr>
        <w:numPr>
          <w:ilvl w:val="0"/>
          <w:numId w:val="9"/>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防雷装置检测项目通过省级气象主管机构组织的质量考核合格率达百分之五十以上，是作为申请防雷装置检测甲级资质的条件之一。（）</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ascii="Times New Roman" w:hAnsi="Times New Roman"/>
          <w:sz w:val="24"/>
          <w:szCs w:val="24"/>
        </w:rPr>
      </w:pPr>
      <w:r>
        <w:rPr>
          <w:rFonts w:hint="eastAsia" w:ascii="Times New Roman" w:hAnsi="Times New Roman" w:eastAsia="黑体"/>
          <w:sz w:val="24"/>
          <w:szCs w:val="24"/>
        </w:rPr>
        <w:t>解析</w:t>
      </w:r>
      <w:r>
        <w:rPr>
          <w:rFonts w:hint="eastAsia" w:ascii="Times New Roman" w:hAnsi="Times New Roman"/>
          <w:sz w:val="24"/>
          <w:szCs w:val="24"/>
        </w:rPr>
        <w:t>：《雷电防护装置检测资质管理办法》第八条</w:t>
      </w:r>
    </w:p>
    <w:p>
      <w:pPr>
        <w:numPr>
          <w:ilvl w:val="0"/>
          <w:numId w:val="9"/>
        </w:numPr>
        <w:spacing w:line="400" w:lineRule="exact"/>
        <w:jc w:val="left"/>
        <w:rPr>
          <w:rFonts w:ascii="Times New Roman" w:hAnsi="Times New Roman" w:eastAsia="宋体" w:cs="Times New Roman"/>
          <w:sz w:val="24"/>
          <w:szCs w:val="24"/>
        </w:rPr>
      </w:pPr>
      <w:bookmarkStart w:id="29" w:name="_Toc7359606"/>
      <w:r>
        <w:rPr>
          <w:rFonts w:hint="eastAsia" w:ascii="Times New Roman" w:hAnsi="Times New Roman" w:eastAsia="宋体" w:cs="Times New Roman"/>
          <w:sz w:val="24"/>
          <w:szCs w:val="24"/>
        </w:rPr>
        <w:t>取得防雷装置检测资质的单位分立的，分立后资质等级根据原资质等级开展检测活动。</w:t>
      </w:r>
      <w:bookmarkEnd w:id="29"/>
      <w:r>
        <w:rPr>
          <w:rFonts w:hint="eastAsia" w:ascii="Times New Roman" w:hAnsi="Times New Roman" w:eastAsia="宋体" w:cs="Times New Roman"/>
          <w:sz w:val="24"/>
          <w:szCs w:val="24"/>
        </w:rPr>
        <w:t>（）</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解析</w:t>
      </w:r>
      <w:r>
        <w:rPr>
          <w:rFonts w:hint="eastAsia" w:ascii="Times New Roman" w:hAnsi="Times New Roman"/>
          <w:sz w:val="24"/>
          <w:szCs w:val="24"/>
        </w:rPr>
        <w:t>：《雷电防护装置检测资质管理办法》第二十二条第二款</w:t>
      </w:r>
    </w:p>
    <w:p>
      <w:pPr>
        <w:numPr>
          <w:ilvl w:val="0"/>
          <w:numId w:val="9"/>
        </w:numPr>
        <w:spacing w:line="400" w:lineRule="exact"/>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本市住宅小区的物业管理企业或者业主发现防雷装置受损的，应当及时报修并定期检测。（）</w:t>
      </w:r>
    </w:p>
    <w:p>
      <w:pPr>
        <w:pStyle w:val="57"/>
        <w:spacing w:line="400" w:lineRule="exact"/>
        <w:ind w:firstLine="480"/>
        <w:jc w:val="left"/>
        <w:rPr>
          <w:rFonts w:ascii="Times New Roman" w:hAnsi="Times New Roman" w:eastAsia="方正楷体_GBK"/>
          <w:sz w:val="24"/>
          <w:szCs w:val="24"/>
        </w:rPr>
      </w:pPr>
      <w:r>
        <w:rPr>
          <w:rFonts w:hint="eastAsia" w:ascii="Times New Roman" w:hAnsi="Times New Roman" w:eastAsia="黑体"/>
          <w:sz w:val="24"/>
          <w:szCs w:val="24"/>
        </w:rPr>
        <w:t>答案</w:t>
      </w:r>
      <w:r>
        <w:rPr>
          <w:rFonts w:hint="eastAsia" w:ascii="Times New Roman" w:hAnsi="Times New Roman"/>
          <w:sz w:val="24"/>
          <w:szCs w:val="24"/>
        </w:rPr>
        <w:t>：</w:t>
      </w:r>
      <w:r>
        <w:rPr>
          <w:rFonts w:ascii="Times New Roman" w:hAnsi="Times New Roman" w:eastAsia="方正楷体_GBK"/>
          <w:sz w:val="24"/>
          <w:szCs w:val="24"/>
        </w:rPr>
        <w:t>√</w:t>
      </w:r>
    </w:p>
    <w:p>
      <w:pPr>
        <w:pStyle w:val="57"/>
        <w:spacing w:line="400" w:lineRule="exact"/>
        <w:ind w:firstLine="480"/>
        <w:jc w:val="left"/>
        <w:rPr>
          <w:rFonts w:ascii="Times New Roman" w:hAnsi="Times New Roman"/>
          <w:sz w:val="24"/>
          <w:szCs w:val="24"/>
        </w:rPr>
      </w:pPr>
      <w:r>
        <w:rPr>
          <w:rFonts w:hint="eastAsia" w:ascii="Times New Roman" w:hAnsi="Times New Roman" w:eastAsia="黑体"/>
          <w:sz w:val="24"/>
          <w:szCs w:val="24"/>
        </w:rPr>
        <w:t>解析</w:t>
      </w:r>
      <w:r>
        <w:rPr>
          <w:rFonts w:hint="eastAsia" w:ascii="Times New Roman" w:hAnsi="Times New Roman"/>
          <w:sz w:val="24"/>
          <w:szCs w:val="24"/>
        </w:rPr>
        <w:t>：《上海市实施&lt;中华人民共和国气象法&gt;办法》第十八条</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隶书">
    <w:panose1 w:val="0201050906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方正楷体_GBK">
    <w:altName w:val="Arial Unicode MS"/>
    <w:panose1 w:val="00000000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7E7EE1"/>
    <w:multiLevelType w:val="multilevel"/>
    <w:tmpl w:val="087E7EE1"/>
    <w:lvl w:ilvl="0" w:tentative="0">
      <w:start w:val="1"/>
      <w:numFmt w:val="decimal"/>
      <w:suff w:val="space"/>
      <w:lvlText w:val="%1."/>
      <w:lvlJc w:val="left"/>
      <w:pPr>
        <w:ind w:left="400" w:hanging="400"/>
      </w:pPr>
      <w:rPr>
        <w:rFonts w:hint="default" w:ascii="Times New Roman" w:hAnsi="Times New Roman" w:cs="Times New Roman"/>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2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73"/>
      <w:suff w:val="nothing"/>
      <w:lvlText w:val="%1.%2.%3　"/>
      <w:lvlJc w:val="left"/>
      <w:pPr>
        <w:ind w:left="0" w:firstLine="0"/>
      </w:pPr>
      <w:rPr>
        <w:rFonts w:hint="eastAsia" w:ascii="黑体" w:hAnsi="Times New Roman" w:eastAsia="黑体"/>
        <w:b w:val="0"/>
        <w:i w:val="0"/>
        <w:sz w:val="21"/>
      </w:rPr>
    </w:lvl>
    <w:lvl w:ilvl="3" w:tentative="0">
      <w:start w:val="1"/>
      <w:numFmt w:val="decimal"/>
      <w:pStyle w:val="175"/>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2">
    <w:nsid w:val="22E156CE"/>
    <w:multiLevelType w:val="multilevel"/>
    <w:tmpl w:val="22E156CE"/>
    <w:lvl w:ilvl="0" w:tentative="0">
      <w:start w:val="1"/>
      <w:numFmt w:val="decimal"/>
      <w:lvlText w:val="%1"/>
      <w:lvlJc w:val="left"/>
      <w:pPr>
        <w:ind w:left="810" w:hanging="810"/>
      </w:pPr>
    </w:lvl>
    <w:lvl w:ilvl="1" w:tentative="0">
      <w:start w:val="1"/>
      <w:numFmt w:val="decimal"/>
      <w:pStyle w:val="135"/>
      <w:lvlText w:val="%1.%2"/>
      <w:lvlJc w:val="left"/>
      <w:pPr>
        <w:ind w:left="810" w:hanging="810"/>
      </w:pPr>
    </w:lvl>
    <w:lvl w:ilvl="2" w:tentative="0">
      <w:start w:val="1"/>
      <w:numFmt w:val="decimal"/>
      <w:lvlText w:val="%1.%2.%3"/>
      <w:lvlJc w:val="left"/>
      <w:pPr>
        <w:ind w:left="810" w:hanging="810"/>
      </w:pPr>
    </w:lvl>
    <w:lvl w:ilvl="3" w:tentative="0">
      <w:start w:val="1"/>
      <w:numFmt w:val="decimal"/>
      <w:lvlText w:val="%1.%2.%3.%4"/>
      <w:lvlJc w:val="left"/>
      <w:pPr>
        <w:ind w:left="1080" w:hanging="1080"/>
      </w:pPr>
    </w:lvl>
    <w:lvl w:ilvl="4" w:tentative="0">
      <w:start w:val="1"/>
      <w:numFmt w:val="decimal"/>
      <w:lvlText w:val="%1.%2.%3.%4.%5"/>
      <w:lvlJc w:val="left"/>
      <w:pPr>
        <w:ind w:left="1440" w:hanging="1440"/>
      </w:pPr>
    </w:lvl>
    <w:lvl w:ilvl="5" w:tentative="0">
      <w:start w:val="1"/>
      <w:numFmt w:val="decimal"/>
      <w:lvlText w:val="%1.%2.%3.%4.%5.%6"/>
      <w:lvlJc w:val="left"/>
      <w:pPr>
        <w:ind w:left="1800" w:hanging="1800"/>
      </w:pPr>
    </w:lvl>
    <w:lvl w:ilvl="6" w:tentative="0">
      <w:start w:val="1"/>
      <w:numFmt w:val="decimal"/>
      <w:lvlText w:val="%1.%2.%3.%4.%5.%6.%7"/>
      <w:lvlJc w:val="left"/>
      <w:pPr>
        <w:ind w:left="1800" w:hanging="1800"/>
      </w:pPr>
    </w:lvl>
    <w:lvl w:ilvl="7" w:tentative="0">
      <w:start w:val="1"/>
      <w:numFmt w:val="decimal"/>
      <w:lvlText w:val="%1.%2.%3.%4.%5.%6.%7.%8"/>
      <w:lvlJc w:val="left"/>
      <w:pPr>
        <w:ind w:left="2160" w:hanging="2160"/>
      </w:pPr>
    </w:lvl>
    <w:lvl w:ilvl="8" w:tentative="0">
      <w:start w:val="1"/>
      <w:numFmt w:val="decimal"/>
      <w:lvlText w:val="%1.%2.%3.%4.%5.%6.%7.%8.%9"/>
      <w:lvlJc w:val="left"/>
      <w:pPr>
        <w:ind w:left="2520" w:hanging="2520"/>
      </w:pPr>
    </w:lvl>
  </w:abstractNum>
  <w:abstractNum w:abstractNumId="3">
    <w:nsid w:val="26DE5130"/>
    <w:multiLevelType w:val="multilevel"/>
    <w:tmpl w:val="26DE5130"/>
    <w:lvl w:ilvl="0" w:tentative="0">
      <w:start w:val="1"/>
      <w:numFmt w:val="decimal"/>
      <w:lvlText w:val="%1."/>
      <w:lvlJc w:val="left"/>
      <w:pPr>
        <w:ind w:left="420" w:hanging="420"/>
      </w:pPr>
    </w:lvl>
    <w:lvl w:ilvl="1" w:tentative="0">
      <w:start w:val="1"/>
      <w:numFmt w:val="decimal"/>
      <w:suff w:val="space"/>
      <w:lvlText w:val="%2."/>
      <w:lvlJc w:val="left"/>
      <w:pPr>
        <w:ind w:left="1110" w:hanging="400"/>
      </w:pPr>
      <w:rPr>
        <w:rFonts w:hint="default" w:ascii="Times New Roman" w:hAnsi="Times New Roman" w:cs="Times New Roman"/>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A8F7113"/>
    <w:multiLevelType w:val="multilevel"/>
    <w:tmpl w:val="2A8F7113"/>
    <w:lvl w:ilvl="0" w:tentative="0">
      <w:start w:val="1"/>
      <w:numFmt w:val="upperLetter"/>
      <w:suff w:val="space"/>
      <w:lvlText w:val="%1"/>
      <w:lvlJc w:val="left"/>
      <w:pPr>
        <w:ind w:left="623" w:hanging="425"/>
      </w:pPr>
    </w:lvl>
    <w:lvl w:ilvl="1" w:tentative="0">
      <w:start w:val="1"/>
      <w:numFmt w:val="decimal"/>
      <w:pStyle w:val="81"/>
      <w:suff w:val="nothing"/>
      <w:lvlText w:val="图%1.%2　"/>
      <w:lvlJc w:val="left"/>
      <w:pPr>
        <w:ind w:left="3927" w:hanging="567"/>
      </w:pPr>
    </w:lvl>
    <w:lvl w:ilvl="2" w:tentative="0">
      <w:start w:val="1"/>
      <w:numFmt w:val="decimal"/>
      <w:lvlText w:val="%1.%2.%3"/>
      <w:lvlJc w:val="left"/>
      <w:pPr>
        <w:tabs>
          <w:tab w:val="left" w:pos="1616"/>
        </w:tabs>
        <w:ind w:left="1616" w:hanging="567"/>
      </w:pPr>
    </w:lvl>
    <w:lvl w:ilvl="3" w:tentative="0">
      <w:start w:val="1"/>
      <w:numFmt w:val="decimal"/>
      <w:lvlText w:val="%1.%2.%3.%4"/>
      <w:lvlJc w:val="left"/>
      <w:pPr>
        <w:tabs>
          <w:tab w:val="left" w:pos="2914"/>
        </w:tabs>
        <w:ind w:left="2182" w:hanging="708"/>
      </w:pPr>
    </w:lvl>
    <w:lvl w:ilvl="4" w:tentative="0">
      <w:start w:val="1"/>
      <w:numFmt w:val="decimal"/>
      <w:lvlText w:val="%1.%2.%3.%4.%5"/>
      <w:lvlJc w:val="left"/>
      <w:pPr>
        <w:tabs>
          <w:tab w:val="left" w:pos="3699"/>
        </w:tabs>
        <w:ind w:left="2749" w:hanging="850"/>
      </w:pPr>
    </w:lvl>
    <w:lvl w:ilvl="5" w:tentative="0">
      <w:start w:val="1"/>
      <w:numFmt w:val="decimal"/>
      <w:lvlText w:val="%1.%2.%3.%4.%5.%6"/>
      <w:lvlJc w:val="left"/>
      <w:pPr>
        <w:tabs>
          <w:tab w:val="left" w:pos="4484"/>
        </w:tabs>
        <w:ind w:left="3458" w:hanging="1134"/>
      </w:pPr>
    </w:lvl>
    <w:lvl w:ilvl="6" w:tentative="0">
      <w:start w:val="1"/>
      <w:numFmt w:val="decimal"/>
      <w:lvlText w:val="%1.%2.%3.%4.%5.%6.%7"/>
      <w:lvlJc w:val="left"/>
      <w:pPr>
        <w:tabs>
          <w:tab w:val="left" w:pos="5269"/>
        </w:tabs>
        <w:ind w:left="4025" w:hanging="1276"/>
      </w:pPr>
    </w:lvl>
    <w:lvl w:ilvl="7" w:tentative="0">
      <w:start w:val="1"/>
      <w:numFmt w:val="decimal"/>
      <w:lvlText w:val="%1.%2.%3.%4.%5.%6.%7.%8"/>
      <w:lvlJc w:val="left"/>
      <w:pPr>
        <w:tabs>
          <w:tab w:val="left" w:pos="6054"/>
        </w:tabs>
        <w:ind w:left="4592" w:hanging="1418"/>
      </w:pPr>
    </w:lvl>
    <w:lvl w:ilvl="8" w:tentative="0">
      <w:start w:val="1"/>
      <w:numFmt w:val="decimal"/>
      <w:lvlText w:val="%1.%2.%3.%4.%5.%6.%7.%8.%9"/>
      <w:lvlJc w:val="left"/>
      <w:pPr>
        <w:tabs>
          <w:tab w:val="left" w:pos="6840"/>
        </w:tabs>
        <w:ind w:left="5300" w:hanging="1700"/>
      </w:pPr>
    </w:lvl>
  </w:abstractNum>
  <w:abstractNum w:abstractNumId="5">
    <w:nsid w:val="417F767E"/>
    <w:multiLevelType w:val="multilevel"/>
    <w:tmpl w:val="417F767E"/>
    <w:lvl w:ilvl="0" w:tentative="0">
      <w:start w:val="2"/>
      <w:numFmt w:val="decimal"/>
      <w:suff w:val="space"/>
      <w:lvlText w:val="%1."/>
      <w:lvlJc w:val="left"/>
      <w:pPr>
        <w:ind w:left="400" w:hanging="400"/>
      </w:pPr>
      <w:rPr>
        <w:rFonts w:hint="default" w:ascii="Times New Roman" w:hAnsi="Times New Roman"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2736BF3"/>
    <w:multiLevelType w:val="multilevel"/>
    <w:tmpl w:val="42736BF3"/>
    <w:lvl w:ilvl="0" w:tentative="0">
      <w:start w:val="1"/>
      <w:numFmt w:val="chineseCountingThousand"/>
      <w:pStyle w:val="112"/>
      <w:lvlText w:val="第%1章"/>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chineseCountingThousand"/>
      <w:pStyle w:val="113"/>
      <w:lvlText w:val="第%2节"/>
      <w:lvlJc w:val="left"/>
      <w:pPr>
        <w:ind w:left="0" w:firstLine="0"/>
      </w:pPr>
      <w:rPr>
        <w:lang w:val="en-US"/>
      </w:rPr>
    </w:lvl>
    <w:lvl w:ilvl="2" w:tentative="0">
      <w:start w:val="1"/>
      <w:numFmt w:val="chineseCountingThousand"/>
      <w:pStyle w:val="99"/>
      <w:lvlText w:val="%3、"/>
      <w:lvlJc w:val="left"/>
      <w:pPr>
        <w:ind w:left="0" w:firstLine="0"/>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7">
    <w:nsid w:val="55EB5862"/>
    <w:multiLevelType w:val="multilevel"/>
    <w:tmpl w:val="55EB5862"/>
    <w:lvl w:ilvl="0" w:tentative="0">
      <w:start w:val="1"/>
      <w:numFmt w:val="decimal"/>
      <w:suff w:val="space"/>
      <w:lvlText w:val="%1."/>
      <w:lvlJc w:val="left"/>
      <w:pPr>
        <w:ind w:left="400" w:hanging="400"/>
      </w:pPr>
      <w:rPr>
        <w:rFonts w:hint="default" w:ascii="Times New Roman" w:hAnsi="Times New Roman"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0B55DC2"/>
    <w:multiLevelType w:val="multilevel"/>
    <w:tmpl w:val="60B55DC2"/>
    <w:lvl w:ilvl="0" w:tentative="0">
      <w:start w:val="1"/>
      <w:numFmt w:val="upperLetter"/>
      <w:lvlText w:val="%1"/>
      <w:lvlJc w:val="left"/>
      <w:pPr>
        <w:tabs>
          <w:tab w:val="left" w:pos="0"/>
        </w:tabs>
        <w:ind w:left="0" w:hanging="425"/>
      </w:pPr>
    </w:lvl>
    <w:lvl w:ilvl="1" w:tentative="0">
      <w:start w:val="1"/>
      <w:numFmt w:val="decimal"/>
      <w:pStyle w:val="79"/>
      <w:suff w:val="nothing"/>
      <w:lvlText w:val="表%1.%2　"/>
      <w:lvlJc w:val="left"/>
      <w:pPr>
        <w:ind w:left="567" w:hanging="567"/>
      </w:pPr>
    </w:lvl>
    <w:lvl w:ilvl="2" w:tentative="0">
      <w:start w:val="1"/>
      <w:numFmt w:val="decimal"/>
      <w:pStyle w:val="174"/>
      <w:lvlText w:val="%1.%2.%3"/>
      <w:lvlJc w:val="left"/>
      <w:pPr>
        <w:tabs>
          <w:tab w:val="left" w:pos="993"/>
        </w:tabs>
        <w:ind w:left="993" w:hanging="567"/>
      </w:pPr>
    </w:lvl>
    <w:lvl w:ilvl="3" w:tentative="0">
      <w:start w:val="1"/>
      <w:numFmt w:val="decimal"/>
      <w:lvlText w:val="%1.%2.%3.%4"/>
      <w:lvlJc w:val="left"/>
      <w:pPr>
        <w:tabs>
          <w:tab w:val="left" w:pos="2291"/>
        </w:tabs>
        <w:ind w:left="1559" w:hanging="708"/>
      </w:pPr>
    </w:lvl>
    <w:lvl w:ilvl="4" w:tentative="0">
      <w:start w:val="1"/>
      <w:numFmt w:val="decimal"/>
      <w:lvlText w:val="%1.%2.%3.%4.%5"/>
      <w:lvlJc w:val="left"/>
      <w:pPr>
        <w:tabs>
          <w:tab w:val="left" w:pos="3076"/>
        </w:tabs>
        <w:ind w:left="2126" w:hanging="850"/>
      </w:pPr>
    </w:lvl>
    <w:lvl w:ilvl="5" w:tentative="0">
      <w:start w:val="1"/>
      <w:numFmt w:val="decimal"/>
      <w:lvlText w:val="%1.%2.%3.%4.%5.%6"/>
      <w:lvlJc w:val="left"/>
      <w:pPr>
        <w:tabs>
          <w:tab w:val="left" w:pos="3861"/>
        </w:tabs>
        <w:ind w:left="2835" w:hanging="1134"/>
      </w:pPr>
    </w:lvl>
    <w:lvl w:ilvl="6" w:tentative="0">
      <w:start w:val="1"/>
      <w:numFmt w:val="decimal"/>
      <w:lvlText w:val="%1.%2.%3.%4.%5.%6.%7"/>
      <w:lvlJc w:val="left"/>
      <w:pPr>
        <w:tabs>
          <w:tab w:val="left" w:pos="4646"/>
        </w:tabs>
        <w:ind w:left="3402" w:hanging="1276"/>
      </w:pPr>
    </w:lvl>
    <w:lvl w:ilvl="7" w:tentative="0">
      <w:start w:val="1"/>
      <w:numFmt w:val="decimal"/>
      <w:lvlText w:val="%1.%2.%3.%4.%5.%6.%7.%8"/>
      <w:lvlJc w:val="left"/>
      <w:pPr>
        <w:tabs>
          <w:tab w:val="left" w:pos="5431"/>
        </w:tabs>
        <w:ind w:left="3969" w:hanging="1418"/>
      </w:pPr>
    </w:lvl>
    <w:lvl w:ilvl="8" w:tentative="0">
      <w:start w:val="1"/>
      <w:numFmt w:val="decimal"/>
      <w:lvlText w:val="%1.%2.%3.%4.%5.%6.%7.%8.%9"/>
      <w:lvlJc w:val="left"/>
      <w:pPr>
        <w:tabs>
          <w:tab w:val="left" w:pos="6217"/>
        </w:tabs>
        <w:ind w:left="4677" w:hanging="1700"/>
      </w:pPr>
    </w:lvl>
  </w:abstractNum>
  <w:num w:numId="1">
    <w:abstractNumId w:val="8"/>
  </w:num>
  <w:num w:numId="2">
    <w:abstractNumId w:val="4"/>
  </w:num>
  <w:num w:numId="3">
    <w:abstractNumId w:val="6"/>
  </w:num>
  <w:num w:numId="4">
    <w:abstractNumId w:val="1"/>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797"/>
    <w:rsid w:val="00002A7B"/>
    <w:rsid w:val="000141C2"/>
    <w:rsid w:val="000161CD"/>
    <w:rsid w:val="00017582"/>
    <w:rsid w:val="00022A1D"/>
    <w:rsid w:val="00024FCD"/>
    <w:rsid w:val="000361D3"/>
    <w:rsid w:val="00044587"/>
    <w:rsid w:val="00046E18"/>
    <w:rsid w:val="00054EF0"/>
    <w:rsid w:val="00055740"/>
    <w:rsid w:val="00060A78"/>
    <w:rsid w:val="00066006"/>
    <w:rsid w:val="000727A3"/>
    <w:rsid w:val="00083F3B"/>
    <w:rsid w:val="00084657"/>
    <w:rsid w:val="00090656"/>
    <w:rsid w:val="000909B6"/>
    <w:rsid w:val="000A24CB"/>
    <w:rsid w:val="000B3190"/>
    <w:rsid w:val="000B6D9E"/>
    <w:rsid w:val="000D3963"/>
    <w:rsid w:val="000F154D"/>
    <w:rsid w:val="000F1892"/>
    <w:rsid w:val="000F43BE"/>
    <w:rsid w:val="000F5E8E"/>
    <w:rsid w:val="001060E8"/>
    <w:rsid w:val="00116D70"/>
    <w:rsid w:val="00136996"/>
    <w:rsid w:val="001373F9"/>
    <w:rsid w:val="001416E7"/>
    <w:rsid w:val="001518CD"/>
    <w:rsid w:val="00161CBD"/>
    <w:rsid w:val="00163C70"/>
    <w:rsid w:val="0017379A"/>
    <w:rsid w:val="001771A4"/>
    <w:rsid w:val="00180A2B"/>
    <w:rsid w:val="001837D3"/>
    <w:rsid w:val="00186364"/>
    <w:rsid w:val="001C49D9"/>
    <w:rsid w:val="001C7CAC"/>
    <w:rsid w:val="001D36B8"/>
    <w:rsid w:val="001D4926"/>
    <w:rsid w:val="001E063F"/>
    <w:rsid w:val="001E0749"/>
    <w:rsid w:val="0020659D"/>
    <w:rsid w:val="00207ACE"/>
    <w:rsid w:val="0021322C"/>
    <w:rsid w:val="002177E4"/>
    <w:rsid w:val="00233AC9"/>
    <w:rsid w:val="00235D72"/>
    <w:rsid w:val="002369D2"/>
    <w:rsid w:val="00242709"/>
    <w:rsid w:val="00244A1D"/>
    <w:rsid w:val="00246831"/>
    <w:rsid w:val="00271C39"/>
    <w:rsid w:val="00281A8F"/>
    <w:rsid w:val="00285C1A"/>
    <w:rsid w:val="00291196"/>
    <w:rsid w:val="0029312A"/>
    <w:rsid w:val="002B433E"/>
    <w:rsid w:val="002C027F"/>
    <w:rsid w:val="002C6113"/>
    <w:rsid w:val="002D0D7B"/>
    <w:rsid w:val="002D397D"/>
    <w:rsid w:val="002E2E6A"/>
    <w:rsid w:val="002E40A4"/>
    <w:rsid w:val="002F4F4A"/>
    <w:rsid w:val="003354B4"/>
    <w:rsid w:val="003466EA"/>
    <w:rsid w:val="0035389E"/>
    <w:rsid w:val="003562A5"/>
    <w:rsid w:val="0036202C"/>
    <w:rsid w:val="003624B7"/>
    <w:rsid w:val="00365DE2"/>
    <w:rsid w:val="0038189F"/>
    <w:rsid w:val="00386C79"/>
    <w:rsid w:val="00387B10"/>
    <w:rsid w:val="003900C3"/>
    <w:rsid w:val="003933B9"/>
    <w:rsid w:val="0039562A"/>
    <w:rsid w:val="003A0DC5"/>
    <w:rsid w:val="003A7430"/>
    <w:rsid w:val="003B2CA8"/>
    <w:rsid w:val="003B6D4A"/>
    <w:rsid w:val="003C3C17"/>
    <w:rsid w:val="003D08AA"/>
    <w:rsid w:val="003D257A"/>
    <w:rsid w:val="003D7FDF"/>
    <w:rsid w:val="003E0C00"/>
    <w:rsid w:val="003F0979"/>
    <w:rsid w:val="003F397C"/>
    <w:rsid w:val="003F4E27"/>
    <w:rsid w:val="003F7DA1"/>
    <w:rsid w:val="0040488B"/>
    <w:rsid w:val="00416A2B"/>
    <w:rsid w:val="00424D38"/>
    <w:rsid w:val="00427E85"/>
    <w:rsid w:val="004340F9"/>
    <w:rsid w:val="004406EC"/>
    <w:rsid w:val="00445AC2"/>
    <w:rsid w:val="00451A2E"/>
    <w:rsid w:val="0045500A"/>
    <w:rsid w:val="00462F50"/>
    <w:rsid w:val="00466169"/>
    <w:rsid w:val="004845B3"/>
    <w:rsid w:val="004942EF"/>
    <w:rsid w:val="004A0769"/>
    <w:rsid w:val="004A43D7"/>
    <w:rsid w:val="004A5503"/>
    <w:rsid w:val="004A57FE"/>
    <w:rsid w:val="004B6E03"/>
    <w:rsid w:val="004D2D85"/>
    <w:rsid w:val="004D50DC"/>
    <w:rsid w:val="004D5CF1"/>
    <w:rsid w:val="004E353E"/>
    <w:rsid w:val="0050160C"/>
    <w:rsid w:val="0050161D"/>
    <w:rsid w:val="00510FB4"/>
    <w:rsid w:val="005164BF"/>
    <w:rsid w:val="00533195"/>
    <w:rsid w:val="00551674"/>
    <w:rsid w:val="005563B1"/>
    <w:rsid w:val="00573C06"/>
    <w:rsid w:val="005775FA"/>
    <w:rsid w:val="00582D18"/>
    <w:rsid w:val="0059437E"/>
    <w:rsid w:val="005A15FB"/>
    <w:rsid w:val="005C044A"/>
    <w:rsid w:val="005C7753"/>
    <w:rsid w:val="005D1348"/>
    <w:rsid w:val="005E720B"/>
    <w:rsid w:val="005F37B2"/>
    <w:rsid w:val="005F447E"/>
    <w:rsid w:val="0060257B"/>
    <w:rsid w:val="006077A5"/>
    <w:rsid w:val="00610993"/>
    <w:rsid w:val="00624212"/>
    <w:rsid w:val="00652166"/>
    <w:rsid w:val="00665584"/>
    <w:rsid w:val="00682297"/>
    <w:rsid w:val="00686A48"/>
    <w:rsid w:val="00687501"/>
    <w:rsid w:val="00691986"/>
    <w:rsid w:val="006A3694"/>
    <w:rsid w:val="006A4E86"/>
    <w:rsid w:val="006E0442"/>
    <w:rsid w:val="006E2FCE"/>
    <w:rsid w:val="006E5AB9"/>
    <w:rsid w:val="006F2011"/>
    <w:rsid w:val="006F5C2D"/>
    <w:rsid w:val="007006E8"/>
    <w:rsid w:val="00701CB6"/>
    <w:rsid w:val="00706B65"/>
    <w:rsid w:val="00707F18"/>
    <w:rsid w:val="00721A81"/>
    <w:rsid w:val="007517B7"/>
    <w:rsid w:val="007536DD"/>
    <w:rsid w:val="007663C1"/>
    <w:rsid w:val="00767D5D"/>
    <w:rsid w:val="00787684"/>
    <w:rsid w:val="00792A83"/>
    <w:rsid w:val="00796610"/>
    <w:rsid w:val="007A656F"/>
    <w:rsid w:val="007C4989"/>
    <w:rsid w:val="007C63D5"/>
    <w:rsid w:val="007D30AA"/>
    <w:rsid w:val="007D64B1"/>
    <w:rsid w:val="007E251A"/>
    <w:rsid w:val="007E259F"/>
    <w:rsid w:val="007E4E70"/>
    <w:rsid w:val="007F0FF0"/>
    <w:rsid w:val="007F1190"/>
    <w:rsid w:val="008269A4"/>
    <w:rsid w:val="008417A0"/>
    <w:rsid w:val="00850D75"/>
    <w:rsid w:val="0085702B"/>
    <w:rsid w:val="00860260"/>
    <w:rsid w:val="00870C41"/>
    <w:rsid w:val="008743CD"/>
    <w:rsid w:val="00881BA4"/>
    <w:rsid w:val="0088465C"/>
    <w:rsid w:val="008874FA"/>
    <w:rsid w:val="008936F4"/>
    <w:rsid w:val="0089443B"/>
    <w:rsid w:val="00896EA0"/>
    <w:rsid w:val="008A36C9"/>
    <w:rsid w:val="008C0C13"/>
    <w:rsid w:val="008D7C06"/>
    <w:rsid w:val="008E455C"/>
    <w:rsid w:val="008E5A24"/>
    <w:rsid w:val="008E5ADD"/>
    <w:rsid w:val="008F57F1"/>
    <w:rsid w:val="0090461C"/>
    <w:rsid w:val="009055EF"/>
    <w:rsid w:val="00932D09"/>
    <w:rsid w:val="0094490B"/>
    <w:rsid w:val="009657CF"/>
    <w:rsid w:val="009863DE"/>
    <w:rsid w:val="00993FE4"/>
    <w:rsid w:val="00994FEA"/>
    <w:rsid w:val="009B49E7"/>
    <w:rsid w:val="009C36C6"/>
    <w:rsid w:val="009E7B43"/>
    <w:rsid w:val="009F0FD8"/>
    <w:rsid w:val="00A0796F"/>
    <w:rsid w:val="00A161B1"/>
    <w:rsid w:val="00A3626F"/>
    <w:rsid w:val="00A4706D"/>
    <w:rsid w:val="00A53FB4"/>
    <w:rsid w:val="00A543B5"/>
    <w:rsid w:val="00A574EE"/>
    <w:rsid w:val="00A6130C"/>
    <w:rsid w:val="00A66581"/>
    <w:rsid w:val="00A67B83"/>
    <w:rsid w:val="00A760C7"/>
    <w:rsid w:val="00A767F4"/>
    <w:rsid w:val="00A86963"/>
    <w:rsid w:val="00A9145A"/>
    <w:rsid w:val="00AA26E3"/>
    <w:rsid w:val="00AB1FCB"/>
    <w:rsid w:val="00AB6919"/>
    <w:rsid w:val="00AC0FE0"/>
    <w:rsid w:val="00AC519D"/>
    <w:rsid w:val="00AC6280"/>
    <w:rsid w:val="00AD24B2"/>
    <w:rsid w:val="00AE2AE4"/>
    <w:rsid w:val="00AE2F54"/>
    <w:rsid w:val="00AE5657"/>
    <w:rsid w:val="00AF7FD2"/>
    <w:rsid w:val="00B1655F"/>
    <w:rsid w:val="00B3350D"/>
    <w:rsid w:val="00B36283"/>
    <w:rsid w:val="00B364E5"/>
    <w:rsid w:val="00B41B84"/>
    <w:rsid w:val="00B43A53"/>
    <w:rsid w:val="00B46939"/>
    <w:rsid w:val="00B555AD"/>
    <w:rsid w:val="00B61220"/>
    <w:rsid w:val="00B6751E"/>
    <w:rsid w:val="00B75B22"/>
    <w:rsid w:val="00B86911"/>
    <w:rsid w:val="00B87432"/>
    <w:rsid w:val="00B90D22"/>
    <w:rsid w:val="00BA3546"/>
    <w:rsid w:val="00BB43F1"/>
    <w:rsid w:val="00BB4BD4"/>
    <w:rsid w:val="00BB714A"/>
    <w:rsid w:val="00BD64A1"/>
    <w:rsid w:val="00BE1070"/>
    <w:rsid w:val="00BE29A6"/>
    <w:rsid w:val="00BF702E"/>
    <w:rsid w:val="00BF72ED"/>
    <w:rsid w:val="00C006D2"/>
    <w:rsid w:val="00C1793C"/>
    <w:rsid w:val="00C2053A"/>
    <w:rsid w:val="00C2089E"/>
    <w:rsid w:val="00C2356A"/>
    <w:rsid w:val="00C23E8B"/>
    <w:rsid w:val="00C242B3"/>
    <w:rsid w:val="00C33B5F"/>
    <w:rsid w:val="00C454B4"/>
    <w:rsid w:val="00C51000"/>
    <w:rsid w:val="00C74285"/>
    <w:rsid w:val="00C811A9"/>
    <w:rsid w:val="00C91B78"/>
    <w:rsid w:val="00CC3D66"/>
    <w:rsid w:val="00CD6FC5"/>
    <w:rsid w:val="00CE156C"/>
    <w:rsid w:val="00CF2042"/>
    <w:rsid w:val="00CF288A"/>
    <w:rsid w:val="00D02591"/>
    <w:rsid w:val="00D029E6"/>
    <w:rsid w:val="00D06B04"/>
    <w:rsid w:val="00D15F7F"/>
    <w:rsid w:val="00D16DA8"/>
    <w:rsid w:val="00D202AB"/>
    <w:rsid w:val="00D20EAF"/>
    <w:rsid w:val="00D22965"/>
    <w:rsid w:val="00D22C67"/>
    <w:rsid w:val="00D264DB"/>
    <w:rsid w:val="00D310CB"/>
    <w:rsid w:val="00D33D29"/>
    <w:rsid w:val="00D362F8"/>
    <w:rsid w:val="00D37DB8"/>
    <w:rsid w:val="00D54357"/>
    <w:rsid w:val="00D55790"/>
    <w:rsid w:val="00D55C3B"/>
    <w:rsid w:val="00D57AD9"/>
    <w:rsid w:val="00D658D9"/>
    <w:rsid w:val="00D705FF"/>
    <w:rsid w:val="00D712AC"/>
    <w:rsid w:val="00D74DD5"/>
    <w:rsid w:val="00D752DA"/>
    <w:rsid w:val="00D85103"/>
    <w:rsid w:val="00D8755A"/>
    <w:rsid w:val="00D92781"/>
    <w:rsid w:val="00D94220"/>
    <w:rsid w:val="00DB7D59"/>
    <w:rsid w:val="00DC381B"/>
    <w:rsid w:val="00DD2D5B"/>
    <w:rsid w:val="00DE15E3"/>
    <w:rsid w:val="00DE442D"/>
    <w:rsid w:val="00DE45BB"/>
    <w:rsid w:val="00E02A44"/>
    <w:rsid w:val="00E30440"/>
    <w:rsid w:val="00E336AF"/>
    <w:rsid w:val="00E40103"/>
    <w:rsid w:val="00E5083A"/>
    <w:rsid w:val="00E60D3A"/>
    <w:rsid w:val="00E65211"/>
    <w:rsid w:val="00E65361"/>
    <w:rsid w:val="00E722FF"/>
    <w:rsid w:val="00E804B3"/>
    <w:rsid w:val="00E84C16"/>
    <w:rsid w:val="00EA5ADB"/>
    <w:rsid w:val="00EB218F"/>
    <w:rsid w:val="00EB6950"/>
    <w:rsid w:val="00EC41D9"/>
    <w:rsid w:val="00EC4371"/>
    <w:rsid w:val="00ED140E"/>
    <w:rsid w:val="00EF2E87"/>
    <w:rsid w:val="00EF36B5"/>
    <w:rsid w:val="00EF7E51"/>
    <w:rsid w:val="00F03B3D"/>
    <w:rsid w:val="00F102F3"/>
    <w:rsid w:val="00F1740C"/>
    <w:rsid w:val="00F2483A"/>
    <w:rsid w:val="00F366E4"/>
    <w:rsid w:val="00F42D6E"/>
    <w:rsid w:val="00F44D30"/>
    <w:rsid w:val="00F45553"/>
    <w:rsid w:val="00F515F8"/>
    <w:rsid w:val="00F529F1"/>
    <w:rsid w:val="00F5606D"/>
    <w:rsid w:val="00F61F6A"/>
    <w:rsid w:val="00F70430"/>
    <w:rsid w:val="00F70C0E"/>
    <w:rsid w:val="00F73C16"/>
    <w:rsid w:val="00F8632B"/>
    <w:rsid w:val="00F879C9"/>
    <w:rsid w:val="00FA3108"/>
    <w:rsid w:val="00FA338C"/>
    <w:rsid w:val="00FB4797"/>
    <w:rsid w:val="00FB55A4"/>
    <w:rsid w:val="00FC49F4"/>
    <w:rsid w:val="00FC633C"/>
    <w:rsid w:val="00FE00A2"/>
    <w:rsid w:val="00FE30AE"/>
    <w:rsid w:val="00FF1BB6"/>
    <w:rsid w:val="0A591F03"/>
    <w:rsid w:val="3C535CD1"/>
    <w:rsid w:val="595C24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name="heading 2"/>
    <w:lsdException w:qFormat="1" w:uiPriority="9" w:name="heading 3"/>
    <w:lsdException w:qFormat="1" w:uiPriority="99" w:name="heading 4"/>
    <w:lsdException w:qFormat="1" w:uiPriority="9" w:name="heading 5"/>
    <w:lsdException w:qFormat="1" w:uiPriority="9" w:name="heading 6"/>
    <w:lsdException w:qFormat="1" w:uiPriority="99" w:name="heading 7"/>
    <w:lsdException w:qFormat="1" w:uiPriority="99" w:name="heading 8"/>
    <w:lsdException w:qFormat="1"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qFormat="1" w:uiPriority="39" w:name="toc 4"/>
    <w:lsdException w:qFormat="1" w:uiPriority="39" w:name="toc 5"/>
    <w:lsdException w:qFormat="1" w:uiPriority="39" w:name="toc 6"/>
    <w:lsdException w:qFormat="1" w:uiPriority="39" w:name="toc 7"/>
    <w:lsdException w:qFormat="1" w:uiPriority="39" w:name="toc 8"/>
    <w:lsdException w:qFormat="1"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99"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Calibri"/>
      <w:kern w:val="2"/>
      <w:sz w:val="32"/>
      <w:szCs w:val="32"/>
      <w:lang w:val="en-US" w:eastAsia="zh-CN" w:bidi="ar-SA"/>
    </w:rPr>
  </w:style>
  <w:style w:type="paragraph" w:styleId="2">
    <w:name w:val="heading 1"/>
    <w:basedOn w:val="1"/>
    <w:next w:val="1"/>
    <w:link w:val="160"/>
    <w:qFormat/>
    <w:uiPriority w:val="99"/>
    <w:pPr>
      <w:jc w:val="center"/>
      <w:outlineLvl w:val="0"/>
    </w:pPr>
    <w:rPr>
      <w:rFonts w:eastAsia="方正小标宋简体" w:cs="Times New Roman"/>
      <w:w w:val="80"/>
      <w:kern w:val="44"/>
      <w:sz w:val="44"/>
      <w:szCs w:val="44"/>
    </w:rPr>
  </w:style>
  <w:style w:type="paragraph" w:styleId="3">
    <w:name w:val="heading 2"/>
    <w:basedOn w:val="2"/>
    <w:next w:val="1"/>
    <w:link w:val="161"/>
    <w:semiHidden/>
    <w:unhideWhenUsed/>
    <w:qFormat/>
    <w:uiPriority w:val="99"/>
    <w:pPr>
      <w:outlineLvl w:val="1"/>
    </w:pPr>
    <w:rPr>
      <w:w w:val="100"/>
    </w:rPr>
  </w:style>
  <w:style w:type="paragraph" w:styleId="4">
    <w:name w:val="heading 3"/>
    <w:basedOn w:val="1"/>
    <w:next w:val="1"/>
    <w:link w:val="162"/>
    <w:semiHidden/>
    <w:unhideWhenUsed/>
    <w:qFormat/>
    <w:uiPriority w:val="9"/>
    <w:pPr>
      <w:spacing w:line="600" w:lineRule="exact"/>
      <w:ind w:firstLine="640"/>
      <w:outlineLvl w:val="2"/>
    </w:pPr>
    <w:rPr>
      <w:rFonts w:eastAsia="黑体" w:cs="Times New Roman"/>
    </w:rPr>
  </w:style>
  <w:style w:type="paragraph" w:styleId="5">
    <w:name w:val="heading 4"/>
    <w:basedOn w:val="1"/>
    <w:next w:val="1"/>
    <w:link w:val="163"/>
    <w:semiHidden/>
    <w:unhideWhenUsed/>
    <w:qFormat/>
    <w:uiPriority w:val="99"/>
    <w:pPr>
      <w:keepNext/>
      <w:keepLines/>
      <w:spacing w:line="600" w:lineRule="exact"/>
      <w:outlineLvl w:val="3"/>
    </w:pPr>
    <w:rPr>
      <w:rFonts w:ascii="Calibri Light" w:hAnsi="Calibri Light" w:eastAsia="楷体_GB2312" w:cs="Times New Roman"/>
      <w:b/>
      <w:bCs/>
      <w:kern w:val="0"/>
      <w:sz w:val="28"/>
      <w:szCs w:val="28"/>
    </w:rPr>
  </w:style>
  <w:style w:type="paragraph" w:styleId="6">
    <w:name w:val="heading 7"/>
    <w:basedOn w:val="1"/>
    <w:next w:val="1"/>
    <w:link w:val="42"/>
    <w:semiHidden/>
    <w:unhideWhenUsed/>
    <w:qFormat/>
    <w:uiPriority w:val="99"/>
    <w:pPr>
      <w:keepNext/>
      <w:keepLines/>
      <w:spacing w:before="240" w:after="64" w:line="319" w:lineRule="auto"/>
      <w:outlineLvl w:val="6"/>
    </w:pPr>
    <w:rPr>
      <w:rFonts w:cs="Times New Roman"/>
      <w:b/>
      <w:bCs/>
      <w:sz w:val="24"/>
      <w:szCs w:val="24"/>
    </w:rPr>
  </w:style>
  <w:style w:type="paragraph" w:styleId="7">
    <w:name w:val="heading 8"/>
    <w:basedOn w:val="1"/>
    <w:next w:val="1"/>
    <w:link w:val="43"/>
    <w:semiHidden/>
    <w:unhideWhenUsed/>
    <w:qFormat/>
    <w:uiPriority w:val="99"/>
    <w:pPr>
      <w:keepNext/>
      <w:keepLines/>
      <w:spacing w:before="240" w:after="64" w:line="319" w:lineRule="auto"/>
      <w:outlineLvl w:val="7"/>
    </w:pPr>
    <w:rPr>
      <w:rFonts w:ascii="Cambria" w:hAnsi="Cambria" w:eastAsia="宋体" w:cs="Times New Roman"/>
      <w:sz w:val="24"/>
      <w:szCs w:val="24"/>
    </w:rPr>
  </w:style>
  <w:style w:type="paragraph" w:styleId="8">
    <w:name w:val="heading 9"/>
    <w:basedOn w:val="1"/>
    <w:next w:val="1"/>
    <w:link w:val="44"/>
    <w:semiHidden/>
    <w:unhideWhenUsed/>
    <w:qFormat/>
    <w:uiPriority w:val="99"/>
    <w:pPr>
      <w:keepNext/>
      <w:keepLines/>
      <w:spacing w:before="240" w:after="64" w:line="319" w:lineRule="auto"/>
      <w:outlineLvl w:val="8"/>
    </w:pPr>
    <w:rPr>
      <w:rFonts w:ascii="Cambria" w:hAnsi="Cambria" w:eastAsia="宋体" w:cs="Times New Roman"/>
      <w:sz w:val="21"/>
      <w:szCs w:val="21"/>
    </w:rPr>
  </w:style>
  <w:style w:type="character" w:default="1" w:styleId="33">
    <w:name w:val="Default Paragraph Font"/>
    <w:semiHidden/>
    <w:unhideWhenUsed/>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styleId="9">
    <w:name w:val="toc 7"/>
    <w:basedOn w:val="1"/>
    <w:next w:val="1"/>
    <w:semiHidden/>
    <w:unhideWhenUsed/>
    <w:qFormat/>
    <w:uiPriority w:val="39"/>
    <w:pPr>
      <w:ind w:left="2520" w:leftChars="1200"/>
    </w:pPr>
    <w:rPr>
      <w:rFonts w:eastAsia="宋体" w:cs="Times New Roman"/>
      <w:sz w:val="21"/>
      <w:szCs w:val="22"/>
    </w:rPr>
  </w:style>
  <w:style w:type="paragraph" w:styleId="10">
    <w:name w:val="caption"/>
    <w:basedOn w:val="1"/>
    <w:next w:val="1"/>
    <w:semiHidden/>
    <w:unhideWhenUsed/>
    <w:qFormat/>
    <w:uiPriority w:val="99"/>
    <w:rPr>
      <w:rFonts w:ascii="Cambria" w:hAnsi="Cambria" w:eastAsia="黑体" w:cs="Times New Roman"/>
      <w:sz w:val="20"/>
      <w:szCs w:val="20"/>
    </w:rPr>
  </w:style>
  <w:style w:type="paragraph" w:styleId="11">
    <w:name w:val="Document Map"/>
    <w:basedOn w:val="1"/>
    <w:link w:val="53"/>
    <w:semiHidden/>
    <w:unhideWhenUsed/>
    <w:qFormat/>
    <w:uiPriority w:val="99"/>
    <w:rPr>
      <w:rFonts w:ascii="宋体" w:eastAsia="宋体"/>
      <w:sz w:val="18"/>
      <w:szCs w:val="18"/>
    </w:rPr>
  </w:style>
  <w:style w:type="paragraph" w:styleId="12">
    <w:name w:val="annotation text"/>
    <w:basedOn w:val="1"/>
    <w:link w:val="166"/>
    <w:semiHidden/>
    <w:unhideWhenUsed/>
    <w:qFormat/>
    <w:uiPriority w:val="99"/>
    <w:pPr>
      <w:jc w:val="left"/>
    </w:pPr>
    <w:rPr>
      <w:rFonts w:eastAsia="宋体" w:cs="Times New Roman"/>
      <w:kern w:val="0"/>
      <w:sz w:val="20"/>
      <w:szCs w:val="20"/>
    </w:rPr>
  </w:style>
  <w:style w:type="paragraph" w:styleId="13">
    <w:name w:val="Body Text 3"/>
    <w:basedOn w:val="1"/>
    <w:link w:val="52"/>
    <w:semiHidden/>
    <w:unhideWhenUsed/>
    <w:qFormat/>
    <w:uiPriority w:val="99"/>
    <w:pPr>
      <w:adjustRightInd w:val="0"/>
      <w:spacing w:after="120" w:line="360" w:lineRule="atLeast"/>
      <w:jc w:val="left"/>
    </w:pPr>
    <w:rPr>
      <w:rFonts w:ascii="Times New Roman" w:hAnsi="Times New Roman" w:eastAsia="宋体" w:cs="Times New Roman"/>
      <w:kern w:val="0"/>
      <w:sz w:val="16"/>
      <w:szCs w:val="16"/>
    </w:rPr>
  </w:style>
  <w:style w:type="paragraph" w:styleId="14">
    <w:name w:val="Body Text"/>
    <w:basedOn w:val="1"/>
    <w:link w:val="49"/>
    <w:semiHidden/>
    <w:unhideWhenUsed/>
    <w:qFormat/>
    <w:uiPriority w:val="99"/>
    <w:pPr>
      <w:spacing w:after="120"/>
    </w:pPr>
    <w:rPr>
      <w:rFonts w:cs="Times New Roman"/>
    </w:rPr>
  </w:style>
  <w:style w:type="paragraph" w:styleId="15">
    <w:name w:val="toc 5"/>
    <w:basedOn w:val="1"/>
    <w:next w:val="1"/>
    <w:semiHidden/>
    <w:unhideWhenUsed/>
    <w:qFormat/>
    <w:uiPriority w:val="39"/>
    <w:pPr>
      <w:ind w:left="1680" w:leftChars="800"/>
    </w:pPr>
    <w:rPr>
      <w:rFonts w:eastAsia="宋体" w:cs="Times New Roman"/>
      <w:sz w:val="21"/>
      <w:szCs w:val="22"/>
    </w:rPr>
  </w:style>
  <w:style w:type="paragraph" w:styleId="16">
    <w:name w:val="toc 3"/>
    <w:basedOn w:val="1"/>
    <w:next w:val="1"/>
    <w:semiHidden/>
    <w:unhideWhenUsed/>
    <w:qFormat/>
    <w:uiPriority w:val="39"/>
    <w:pPr>
      <w:tabs>
        <w:tab w:val="right" w:leader="dot" w:pos="8296"/>
      </w:tabs>
      <w:spacing w:line="560" w:lineRule="exact"/>
    </w:pPr>
    <w:rPr>
      <w:rFonts w:ascii="宋体" w:hAnsi="宋体" w:eastAsia="宋体" w:cs="宋体"/>
      <w:sz w:val="24"/>
      <w:szCs w:val="24"/>
    </w:rPr>
  </w:style>
  <w:style w:type="paragraph" w:styleId="17">
    <w:name w:val="toc 8"/>
    <w:basedOn w:val="1"/>
    <w:next w:val="1"/>
    <w:semiHidden/>
    <w:unhideWhenUsed/>
    <w:qFormat/>
    <w:uiPriority w:val="39"/>
    <w:pPr>
      <w:ind w:left="2940" w:leftChars="1400"/>
    </w:pPr>
    <w:rPr>
      <w:rFonts w:eastAsia="宋体" w:cs="Times New Roman"/>
      <w:sz w:val="21"/>
      <w:szCs w:val="22"/>
    </w:rPr>
  </w:style>
  <w:style w:type="paragraph" w:styleId="18">
    <w:name w:val="Date"/>
    <w:basedOn w:val="1"/>
    <w:next w:val="1"/>
    <w:link w:val="51"/>
    <w:semiHidden/>
    <w:unhideWhenUsed/>
    <w:qFormat/>
    <w:uiPriority w:val="99"/>
    <w:pPr>
      <w:ind w:left="100" w:leftChars="2500"/>
    </w:pPr>
    <w:rPr>
      <w:rFonts w:cs="Times New Roman"/>
    </w:rPr>
  </w:style>
  <w:style w:type="paragraph" w:styleId="19">
    <w:name w:val="Balloon Text"/>
    <w:basedOn w:val="1"/>
    <w:link w:val="168"/>
    <w:semiHidden/>
    <w:unhideWhenUsed/>
    <w:qFormat/>
    <w:uiPriority w:val="99"/>
    <w:rPr>
      <w:rFonts w:eastAsia="宋体" w:cs="Times New Roman"/>
      <w:kern w:val="0"/>
      <w:sz w:val="18"/>
      <w:szCs w:val="18"/>
    </w:rPr>
  </w:style>
  <w:style w:type="paragraph" w:styleId="20">
    <w:name w:val="footer"/>
    <w:basedOn w:val="1"/>
    <w:link w:val="47"/>
    <w:unhideWhenUsed/>
    <w:qFormat/>
    <w:uiPriority w:val="99"/>
    <w:pPr>
      <w:tabs>
        <w:tab w:val="center" w:pos="4153"/>
        <w:tab w:val="right" w:pos="8306"/>
      </w:tabs>
      <w:snapToGrid w:val="0"/>
      <w:jc w:val="left"/>
    </w:pPr>
    <w:rPr>
      <w:sz w:val="18"/>
      <w:szCs w:val="18"/>
    </w:rPr>
  </w:style>
  <w:style w:type="paragraph" w:styleId="21">
    <w:name w:val="header"/>
    <w:basedOn w:val="1"/>
    <w:link w:val="46"/>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semiHidden/>
    <w:unhideWhenUsed/>
    <w:qFormat/>
    <w:uiPriority w:val="39"/>
    <w:pPr>
      <w:tabs>
        <w:tab w:val="left" w:pos="1280"/>
        <w:tab w:val="right" w:leader="dot" w:pos="9639"/>
      </w:tabs>
    </w:pPr>
    <w:rPr>
      <w:rFonts w:ascii="黑体" w:hAnsi="黑体" w:eastAsia="黑体" w:cs="方正小标宋简体"/>
    </w:rPr>
  </w:style>
  <w:style w:type="paragraph" w:styleId="23">
    <w:name w:val="toc 4"/>
    <w:basedOn w:val="1"/>
    <w:next w:val="1"/>
    <w:semiHidden/>
    <w:unhideWhenUsed/>
    <w:qFormat/>
    <w:uiPriority w:val="39"/>
    <w:pPr>
      <w:ind w:left="1260" w:leftChars="600"/>
    </w:pPr>
  </w:style>
  <w:style w:type="paragraph" w:styleId="24">
    <w:name w:val="Subtitle"/>
    <w:basedOn w:val="1"/>
    <w:next w:val="1"/>
    <w:link w:val="50"/>
    <w:qFormat/>
    <w:uiPriority w:val="99"/>
    <w:pPr>
      <w:spacing w:before="240" w:after="60" w:line="312" w:lineRule="auto"/>
      <w:jc w:val="center"/>
      <w:outlineLvl w:val="1"/>
    </w:pPr>
    <w:rPr>
      <w:rFonts w:ascii="Cambria" w:hAnsi="Cambria" w:eastAsia="宋体" w:cs="Times New Roman"/>
      <w:b/>
      <w:bCs/>
      <w:kern w:val="28"/>
    </w:rPr>
  </w:style>
  <w:style w:type="paragraph" w:styleId="25">
    <w:name w:val="toc 6"/>
    <w:basedOn w:val="1"/>
    <w:next w:val="1"/>
    <w:semiHidden/>
    <w:unhideWhenUsed/>
    <w:qFormat/>
    <w:uiPriority w:val="39"/>
    <w:pPr>
      <w:ind w:left="2100" w:leftChars="1000"/>
    </w:pPr>
    <w:rPr>
      <w:rFonts w:eastAsia="宋体" w:cs="Times New Roman"/>
      <w:sz w:val="21"/>
      <w:szCs w:val="22"/>
    </w:rPr>
  </w:style>
  <w:style w:type="paragraph" w:styleId="26">
    <w:name w:val="toc 2"/>
    <w:basedOn w:val="1"/>
    <w:next w:val="1"/>
    <w:semiHidden/>
    <w:unhideWhenUsed/>
    <w:qFormat/>
    <w:uiPriority w:val="39"/>
    <w:pPr>
      <w:tabs>
        <w:tab w:val="left" w:pos="1135"/>
        <w:tab w:val="right" w:leader="dot" w:pos="9639"/>
      </w:tabs>
      <w:spacing w:line="400" w:lineRule="exact"/>
      <w:ind w:left="320" w:leftChars="100"/>
    </w:pPr>
    <w:rPr>
      <w:rFonts w:ascii="黑体" w:hAnsi="黑体" w:eastAsia="黑体" w:cs="黑体"/>
      <w:sz w:val="28"/>
      <w:szCs w:val="28"/>
    </w:rPr>
  </w:style>
  <w:style w:type="paragraph" w:styleId="27">
    <w:name w:val="toc 9"/>
    <w:basedOn w:val="1"/>
    <w:next w:val="1"/>
    <w:semiHidden/>
    <w:unhideWhenUsed/>
    <w:qFormat/>
    <w:uiPriority w:val="39"/>
    <w:pPr>
      <w:ind w:left="3360" w:leftChars="1600"/>
    </w:pPr>
    <w:rPr>
      <w:rFonts w:eastAsia="宋体" w:cs="Times New Roman"/>
      <w:sz w:val="21"/>
      <w:szCs w:val="22"/>
    </w:rPr>
  </w:style>
  <w:style w:type="paragraph" w:styleId="2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9">
    <w:name w:val="Title"/>
    <w:basedOn w:val="2"/>
    <w:next w:val="1"/>
    <w:link w:val="48"/>
    <w:qFormat/>
    <w:uiPriority w:val="99"/>
    <w:rPr>
      <w:rFonts w:ascii="方正小标宋简体"/>
      <w:sz w:val="48"/>
      <w:szCs w:val="48"/>
    </w:rPr>
  </w:style>
  <w:style w:type="paragraph" w:styleId="30">
    <w:name w:val="annotation subject"/>
    <w:basedOn w:val="12"/>
    <w:next w:val="12"/>
    <w:link w:val="167"/>
    <w:semiHidden/>
    <w:unhideWhenUsed/>
    <w:qFormat/>
    <w:uiPriority w:val="99"/>
    <w:rPr>
      <w:b/>
      <w:bCs/>
    </w:rPr>
  </w:style>
  <w:style w:type="table" w:styleId="32">
    <w:name w:val="Table Grid"/>
    <w:basedOn w:val="31"/>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FollowedHyperlink"/>
    <w:semiHidden/>
    <w:unhideWhenUsed/>
    <w:uiPriority w:val="99"/>
    <w:rPr>
      <w:color w:val="800080"/>
      <w:u w:val="none"/>
    </w:rPr>
  </w:style>
  <w:style w:type="character" w:styleId="35">
    <w:name w:val="Emphasis"/>
    <w:qFormat/>
    <w:uiPriority w:val="20"/>
    <w:rPr>
      <w:rFonts w:hint="default" w:ascii="Times New Roman" w:hAnsi="Times New Roman" w:cs="Times New Roman"/>
      <w:i/>
      <w:iCs/>
    </w:rPr>
  </w:style>
  <w:style w:type="character" w:styleId="36">
    <w:name w:val="Hyperlink"/>
    <w:semiHidden/>
    <w:unhideWhenUsed/>
    <w:uiPriority w:val="99"/>
    <w:rPr>
      <w:rFonts w:hint="default" w:ascii="Times New Roman" w:hAnsi="Times New Roman" w:cs="Times New Roman"/>
      <w:color w:val="0563C1"/>
      <w:u w:val="single"/>
    </w:rPr>
  </w:style>
  <w:style w:type="character" w:styleId="37">
    <w:name w:val="annotation reference"/>
    <w:semiHidden/>
    <w:unhideWhenUsed/>
    <w:uiPriority w:val="0"/>
    <w:rPr>
      <w:rFonts w:hint="default" w:ascii="Times New Roman" w:hAnsi="Times New Roman" w:cs="Times New Roman"/>
      <w:sz w:val="21"/>
      <w:szCs w:val="21"/>
    </w:rPr>
  </w:style>
  <w:style w:type="character" w:customStyle="1" w:styleId="38">
    <w:name w:val="标题 1 Char"/>
    <w:basedOn w:val="33"/>
    <w:uiPriority w:val="9"/>
    <w:rPr>
      <w:rFonts w:ascii="Calibri" w:hAnsi="Calibri" w:eastAsia="仿宋_GB2312" w:cs="Calibri"/>
      <w:b/>
      <w:bCs/>
      <w:kern w:val="44"/>
      <w:sz w:val="44"/>
      <w:szCs w:val="44"/>
    </w:rPr>
  </w:style>
  <w:style w:type="character" w:customStyle="1" w:styleId="39">
    <w:name w:val="标题 2 Char"/>
    <w:basedOn w:val="33"/>
    <w:semiHidden/>
    <w:uiPriority w:val="9"/>
    <w:rPr>
      <w:rFonts w:asciiTheme="majorHAnsi" w:hAnsiTheme="majorHAnsi" w:eastAsiaTheme="majorEastAsia" w:cstheme="majorBidi"/>
      <w:b/>
      <w:bCs/>
      <w:sz w:val="32"/>
      <w:szCs w:val="32"/>
    </w:rPr>
  </w:style>
  <w:style w:type="character" w:customStyle="1" w:styleId="40">
    <w:name w:val="标题 3 Char"/>
    <w:basedOn w:val="33"/>
    <w:semiHidden/>
    <w:uiPriority w:val="9"/>
    <w:rPr>
      <w:rFonts w:ascii="Calibri" w:hAnsi="Calibri" w:eastAsia="仿宋_GB2312" w:cs="Calibri"/>
      <w:b/>
      <w:bCs/>
      <w:sz w:val="32"/>
      <w:szCs w:val="32"/>
    </w:rPr>
  </w:style>
  <w:style w:type="character" w:customStyle="1" w:styleId="41">
    <w:name w:val="标题 4 Char"/>
    <w:basedOn w:val="33"/>
    <w:semiHidden/>
    <w:uiPriority w:val="9"/>
    <w:rPr>
      <w:rFonts w:asciiTheme="majorHAnsi" w:hAnsiTheme="majorHAnsi" w:eastAsiaTheme="majorEastAsia" w:cstheme="majorBidi"/>
      <w:b/>
      <w:bCs/>
      <w:sz w:val="28"/>
      <w:szCs w:val="28"/>
    </w:rPr>
  </w:style>
  <w:style w:type="character" w:customStyle="1" w:styleId="42">
    <w:name w:val="标题 7 Char"/>
    <w:basedOn w:val="33"/>
    <w:link w:val="6"/>
    <w:semiHidden/>
    <w:uiPriority w:val="99"/>
    <w:rPr>
      <w:rFonts w:ascii="Calibri" w:hAnsi="Calibri" w:eastAsia="仿宋_GB2312" w:cs="Times New Roman"/>
      <w:b/>
      <w:bCs/>
      <w:sz w:val="24"/>
      <w:szCs w:val="24"/>
    </w:rPr>
  </w:style>
  <w:style w:type="character" w:customStyle="1" w:styleId="43">
    <w:name w:val="标题 8 Char"/>
    <w:basedOn w:val="33"/>
    <w:link w:val="7"/>
    <w:semiHidden/>
    <w:uiPriority w:val="99"/>
    <w:rPr>
      <w:rFonts w:ascii="Cambria" w:hAnsi="Cambria" w:eastAsia="宋体" w:cs="Times New Roman"/>
      <w:sz w:val="24"/>
      <w:szCs w:val="24"/>
    </w:rPr>
  </w:style>
  <w:style w:type="character" w:customStyle="1" w:styleId="44">
    <w:name w:val="标题 9 Char"/>
    <w:basedOn w:val="33"/>
    <w:link w:val="8"/>
    <w:semiHidden/>
    <w:uiPriority w:val="99"/>
    <w:rPr>
      <w:rFonts w:ascii="Cambria" w:hAnsi="Cambria" w:eastAsia="宋体" w:cs="Times New Roman"/>
      <w:szCs w:val="21"/>
    </w:rPr>
  </w:style>
  <w:style w:type="character" w:customStyle="1" w:styleId="45">
    <w:name w:val="批注文字 Char"/>
    <w:basedOn w:val="33"/>
    <w:semiHidden/>
    <w:uiPriority w:val="99"/>
    <w:rPr>
      <w:rFonts w:ascii="Calibri" w:hAnsi="Calibri" w:eastAsia="仿宋_GB2312" w:cs="Calibri"/>
      <w:sz w:val="32"/>
      <w:szCs w:val="32"/>
    </w:rPr>
  </w:style>
  <w:style w:type="character" w:customStyle="1" w:styleId="46">
    <w:name w:val="页眉 Char"/>
    <w:basedOn w:val="33"/>
    <w:link w:val="21"/>
    <w:qFormat/>
    <w:uiPriority w:val="99"/>
    <w:rPr>
      <w:rFonts w:ascii="Calibri" w:hAnsi="Calibri" w:eastAsia="仿宋_GB2312" w:cs="Calibri"/>
      <w:sz w:val="18"/>
      <w:szCs w:val="18"/>
    </w:rPr>
  </w:style>
  <w:style w:type="character" w:customStyle="1" w:styleId="47">
    <w:name w:val="页脚 Char"/>
    <w:basedOn w:val="33"/>
    <w:link w:val="20"/>
    <w:uiPriority w:val="99"/>
    <w:rPr>
      <w:rFonts w:ascii="Calibri" w:hAnsi="Calibri" w:eastAsia="仿宋_GB2312" w:cs="Calibri"/>
      <w:sz w:val="18"/>
      <w:szCs w:val="18"/>
    </w:rPr>
  </w:style>
  <w:style w:type="character" w:customStyle="1" w:styleId="48">
    <w:name w:val="标题 Char"/>
    <w:basedOn w:val="33"/>
    <w:link w:val="29"/>
    <w:uiPriority w:val="99"/>
    <w:rPr>
      <w:rFonts w:ascii="方正小标宋简体" w:hAnsi="Calibri" w:eastAsia="方正小标宋简体" w:cs="Times New Roman"/>
      <w:w w:val="80"/>
      <w:kern w:val="44"/>
      <w:sz w:val="48"/>
      <w:szCs w:val="48"/>
    </w:rPr>
  </w:style>
  <w:style w:type="character" w:customStyle="1" w:styleId="49">
    <w:name w:val="正文文本 Char"/>
    <w:basedOn w:val="33"/>
    <w:link w:val="14"/>
    <w:semiHidden/>
    <w:uiPriority w:val="99"/>
    <w:rPr>
      <w:rFonts w:ascii="Calibri" w:hAnsi="Calibri" w:eastAsia="仿宋_GB2312" w:cs="Times New Roman"/>
      <w:sz w:val="32"/>
      <w:szCs w:val="32"/>
    </w:rPr>
  </w:style>
  <w:style w:type="character" w:customStyle="1" w:styleId="50">
    <w:name w:val="副标题 Char"/>
    <w:basedOn w:val="33"/>
    <w:link w:val="24"/>
    <w:uiPriority w:val="99"/>
    <w:rPr>
      <w:rFonts w:ascii="Cambria" w:hAnsi="Cambria" w:eastAsia="宋体" w:cs="Times New Roman"/>
      <w:b/>
      <w:bCs/>
      <w:kern w:val="28"/>
      <w:sz w:val="32"/>
      <w:szCs w:val="32"/>
    </w:rPr>
  </w:style>
  <w:style w:type="character" w:customStyle="1" w:styleId="51">
    <w:name w:val="日期 Char"/>
    <w:basedOn w:val="33"/>
    <w:link w:val="18"/>
    <w:semiHidden/>
    <w:uiPriority w:val="99"/>
    <w:rPr>
      <w:rFonts w:ascii="Calibri" w:hAnsi="Calibri" w:eastAsia="仿宋_GB2312" w:cs="Times New Roman"/>
      <w:sz w:val="32"/>
      <w:szCs w:val="32"/>
    </w:rPr>
  </w:style>
  <w:style w:type="character" w:customStyle="1" w:styleId="52">
    <w:name w:val="正文文本 3 Char"/>
    <w:basedOn w:val="33"/>
    <w:link w:val="13"/>
    <w:semiHidden/>
    <w:uiPriority w:val="99"/>
    <w:rPr>
      <w:rFonts w:ascii="Times New Roman" w:hAnsi="Times New Roman" w:eastAsia="宋体" w:cs="Times New Roman"/>
      <w:kern w:val="0"/>
      <w:sz w:val="16"/>
      <w:szCs w:val="16"/>
    </w:rPr>
  </w:style>
  <w:style w:type="character" w:customStyle="1" w:styleId="53">
    <w:name w:val="文档结构图 Char"/>
    <w:basedOn w:val="33"/>
    <w:link w:val="11"/>
    <w:semiHidden/>
    <w:uiPriority w:val="99"/>
    <w:rPr>
      <w:rFonts w:ascii="宋体" w:hAnsi="Calibri" w:eastAsia="宋体" w:cs="Calibri"/>
      <w:sz w:val="18"/>
      <w:szCs w:val="18"/>
    </w:rPr>
  </w:style>
  <w:style w:type="character" w:customStyle="1" w:styleId="54">
    <w:name w:val="批注主题 Char"/>
    <w:basedOn w:val="45"/>
    <w:semiHidden/>
    <w:uiPriority w:val="99"/>
    <w:rPr>
      <w:rFonts w:ascii="Calibri" w:hAnsi="Calibri" w:eastAsia="仿宋_GB2312" w:cs="Calibri"/>
      <w:b/>
      <w:bCs/>
      <w:sz w:val="32"/>
      <w:szCs w:val="32"/>
    </w:rPr>
  </w:style>
  <w:style w:type="character" w:customStyle="1" w:styleId="55">
    <w:name w:val="批注框文本 Char"/>
    <w:basedOn w:val="33"/>
    <w:semiHidden/>
    <w:uiPriority w:val="99"/>
    <w:rPr>
      <w:rFonts w:ascii="Calibri" w:hAnsi="Calibri" w:eastAsia="仿宋_GB2312" w:cs="Calibri"/>
      <w:sz w:val="18"/>
      <w:szCs w:val="18"/>
    </w:rPr>
  </w:style>
  <w:style w:type="paragraph" w:customStyle="1" w:styleId="56">
    <w:name w:val="Revision"/>
    <w:semiHidden/>
    <w:qFormat/>
    <w:uiPriority w:val="99"/>
    <w:rPr>
      <w:rFonts w:ascii="Calibri" w:hAnsi="Calibri" w:eastAsia="仿宋_GB2312" w:cs="Calibri"/>
      <w:kern w:val="2"/>
      <w:sz w:val="32"/>
      <w:szCs w:val="32"/>
      <w:lang w:val="en-US" w:eastAsia="zh-CN" w:bidi="ar-SA"/>
    </w:rPr>
  </w:style>
  <w:style w:type="paragraph" w:styleId="57">
    <w:name w:val="List Paragraph"/>
    <w:basedOn w:val="1"/>
    <w:qFormat/>
    <w:uiPriority w:val="34"/>
    <w:pPr>
      <w:ind w:firstLine="420" w:firstLineChars="200"/>
    </w:pPr>
    <w:rPr>
      <w:rFonts w:eastAsia="宋体" w:cs="Times New Roman"/>
      <w:sz w:val="21"/>
      <w:szCs w:val="22"/>
    </w:rPr>
  </w:style>
  <w:style w:type="paragraph" w:customStyle="1" w:styleId="58">
    <w:name w:val="TOC Heading"/>
    <w:basedOn w:val="2"/>
    <w:next w:val="1"/>
    <w:semiHidden/>
    <w:unhideWhenUsed/>
    <w:qFormat/>
    <w:uiPriority w:val="39"/>
    <w:pPr>
      <w:keepNext/>
      <w:keepLines/>
      <w:spacing w:before="340" w:after="330" w:line="578" w:lineRule="atLeast"/>
      <w:ind w:firstLine="200" w:firstLineChars="200"/>
      <w:jc w:val="both"/>
      <w:outlineLvl w:val="9"/>
    </w:pPr>
    <w:rPr>
      <w:rFonts w:eastAsia="仿宋_GB2312"/>
      <w:b/>
      <w:bCs/>
      <w:w w:val="100"/>
    </w:rPr>
  </w:style>
  <w:style w:type="paragraph" w:customStyle="1" w:styleId="59">
    <w:name w:val="列出段落1"/>
    <w:basedOn w:val="1"/>
    <w:qFormat/>
    <w:uiPriority w:val="99"/>
    <w:pPr>
      <w:ind w:firstLine="420"/>
    </w:pPr>
  </w:style>
  <w:style w:type="character" w:customStyle="1" w:styleId="60">
    <w:name w:val="样式1 Char"/>
    <w:link w:val="61"/>
    <w:locked/>
    <w:uiPriority w:val="99"/>
    <w:rPr>
      <w:rFonts w:ascii="黑体" w:hAnsi="黑体" w:eastAsia="方正小标宋简体" w:cs="Times New Roman"/>
      <w:kern w:val="0"/>
      <w:sz w:val="32"/>
      <w:szCs w:val="32"/>
    </w:rPr>
  </w:style>
  <w:style w:type="paragraph" w:customStyle="1" w:styleId="61">
    <w:name w:val="样式1"/>
    <w:basedOn w:val="1"/>
    <w:link w:val="60"/>
    <w:qFormat/>
    <w:uiPriority w:val="99"/>
    <w:pPr>
      <w:tabs>
        <w:tab w:val="right" w:pos="8306"/>
      </w:tabs>
      <w:jc w:val="center"/>
    </w:pPr>
    <w:rPr>
      <w:rFonts w:ascii="黑体" w:hAnsi="黑体" w:eastAsia="方正小标宋简体" w:cs="Times New Roman"/>
      <w:kern w:val="0"/>
    </w:rPr>
  </w:style>
  <w:style w:type="character" w:customStyle="1" w:styleId="62">
    <w:name w:val="样式2 Char"/>
    <w:link w:val="63"/>
    <w:locked/>
    <w:uiPriority w:val="99"/>
    <w:rPr>
      <w:rFonts w:ascii="黑体" w:hAnsi="黑体" w:eastAsia="黑体" w:cs="Times New Roman"/>
      <w:kern w:val="0"/>
      <w:sz w:val="32"/>
      <w:szCs w:val="32"/>
    </w:rPr>
  </w:style>
  <w:style w:type="paragraph" w:customStyle="1" w:styleId="63">
    <w:name w:val="样式2"/>
    <w:basedOn w:val="1"/>
    <w:link w:val="62"/>
    <w:qFormat/>
    <w:uiPriority w:val="99"/>
    <w:pPr>
      <w:jc w:val="left"/>
    </w:pPr>
    <w:rPr>
      <w:rFonts w:ascii="黑体" w:hAnsi="黑体" w:eastAsia="黑体" w:cs="Times New Roman"/>
      <w:kern w:val="0"/>
    </w:rPr>
  </w:style>
  <w:style w:type="character" w:customStyle="1" w:styleId="64">
    <w:name w:val="样式3 Char"/>
    <w:link w:val="65"/>
    <w:locked/>
    <w:uiPriority w:val="99"/>
    <w:rPr>
      <w:rFonts w:ascii="黑体" w:hAnsi="黑体" w:eastAsia="仿宋_GB2312" w:cs="Times New Roman"/>
      <w:kern w:val="0"/>
      <w:sz w:val="32"/>
      <w:szCs w:val="32"/>
    </w:rPr>
  </w:style>
  <w:style w:type="paragraph" w:customStyle="1" w:styleId="65">
    <w:name w:val="样式3"/>
    <w:basedOn w:val="63"/>
    <w:link w:val="64"/>
    <w:qFormat/>
    <w:uiPriority w:val="99"/>
    <w:pPr>
      <w:spacing w:line="560" w:lineRule="exact"/>
      <w:jc w:val="both"/>
    </w:pPr>
    <w:rPr>
      <w:rFonts w:eastAsia="仿宋_GB2312"/>
    </w:rPr>
  </w:style>
  <w:style w:type="character" w:customStyle="1" w:styleId="66">
    <w:name w:val="样式4 Char"/>
    <w:link w:val="67"/>
    <w:locked/>
    <w:uiPriority w:val="99"/>
    <w:rPr>
      <w:rFonts w:ascii="黑体" w:hAnsi="黑体" w:eastAsia="仿宋_GB2312" w:cs="Times New Roman"/>
      <w:b/>
      <w:bCs/>
      <w:kern w:val="0"/>
      <w:sz w:val="32"/>
      <w:szCs w:val="32"/>
    </w:rPr>
  </w:style>
  <w:style w:type="paragraph" w:customStyle="1" w:styleId="67">
    <w:name w:val="样式4"/>
    <w:basedOn w:val="65"/>
    <w:link w:val="66"/>
    <w:qFormat/>
    <w:uiPriority w:val="99"/>
    <w:rPr>
      <w:b/>
      <w:bCs/>
    </w:rPr>
  </w:style>
  <w:style w:type="character" w:customStyle="1" w:styleId="68">
    <w:name w:val="样式5 Char"/>
    <w:link w:val="69"/>
    <w:locked/>
    <w:uiPriority w:val="99"/>
    <w:rPr>
      <w:rFonts w:ascii="黑体" w:hAnsi="黑体" w:eastAsia="楷体_GB2312" w:cs="Times New Roman"/>
      <w:b/>
      <w:bCs/>
      <w:kern w:val="0"/>
      <w:sz w:val="32"/>
      <w:szCs w:val="32"/>
    </w:rPr>
  </w:style>
  <w:style w:type="paragraph" w:customStyle="1" w:styleId="69">
    <w:name w:val="样式5"/>
    <w:basedOn w:val="67"/>
    <w:link w:val="68"/>
    <w:qFormat/>
    <w:uiPriority w:val="99"/>
    <w:rPr>
      <w:rFonts w:eastAsia="楷体_GB2312"/>
    </w:rPr>
  </w:style>
  <w:style w:type="paragraph" w:customStyle="1" w:styleId="70">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71">
    <w:name w:val="TOC 标题1"/>
    <w:basedOn w:val="2"/>
    <w:next w:val="1"/>
    <w:qFormat/>
    <w:uiPriority w:val="99"/>
    <w:pPr>
      <w:widowControl/>
      <w:spacing w:before="240" w:line="256" w:lineRule="auto"/>
      <w:jc w:val="left"/>
      <w:outlineLvl w:val="9"/>
    </w:pPr>
    <w:rPr>
      <w:rFonts w:ascii="Calibri Light" w:hAnsi="Calibri Light" w:eastAsia="宋体" w:cs="Calibri Light"/>
      <w:b/>
      <w:bCs/>
      <w:color w:val="2E74B5"/>
      <w:kern w:val="0"/>
      <w:sz w:val="32"/>
      <w:szCs w:val="32"/>
    </w:rPr>
  </w:style>
  <w:style w:type="character" w:customStyle="1" w:styleId="72">
    <w:name w:val="样式6 Char"/>
    <w:link w:val="73"/>
    <w:locked/>
    <w:uiPriority w:val="99"/>
    <w:rPr>
      <w:rFonts w:ascii="楷体_GB2312" w:hAnsi="微软雅黑" w:eastAsia="楷体_GB2312" w:cs="Times New Roman"/>
      <w:kern w:val="0"/>
      <w:sz w:val="24"/>
      <w:szCs w:val="24"/>
    </w:rPr>
  </w:style>
  <w:style w:type="paragraph" w:customStyle="1" w:styleId="73">
    <w:name w:val="样式6"/>
    <w:basedOn w:val="1"/>
    <w:link w:val="72"/>
    <w:qFormat/>
    <w:uiPriority w:val="99"/>
    <w:pPr>
      <w:spacing w:beforeLines="50" w:line="320" w:lineRule="exact"/>
    </w:pPr>
    <w:rPr>
      <w:rFonts w:ascii="楷体_GB2312" w:hAnsi="微软雅黑" w:eastAsia="楷体_GB2312" w:cs="Times New Roman"/>
      <w:kern w:val="0"/>
      <w:sz w:val="24"/>
      <w:szCs w:val="24"/>
    </w:rPr>
  </w:style>
  <w:style w:type="paragraph" w:customStyle="1" w:styleId="74">
    <w:name w:val="Char Char Char Char Char Char Char Char Char Char"/>
    <w:basedOn w:val="1"/>
    <w:qFormat/>
    <w:uiPriority w:val="99"/>
    <w:pPr>
      <w:widowControl/>
      <w:adjustRightInd w:val="0"/>
      <w:spacing w:after="160" w:line="240" w:lineRule="exact"/>
      <w:jc w:val="left"/>
    </w:pPr>
    <w:rPr>
      <w:rFonts w:ascii="Times New Roman" w:hAnsi="Times New Roman" w:eastAsia="宋体" w:cs="Times New Roman"/>
      <w:kern w:val="0"/>
      <w:sz w:val="21"/>
      <w:szCs w:val="20"/>
    </w:rPr>
  </w:style>
  <w:style w:type="paragraph" w:customStyle="1" w:styleId="75">
    <w:name w:val="result2"/>
    <w:basedOn w:val="1"/>
    <w:qFormat/>
    <w:uiPriority w:val="99"/>
    <w:pPr>
      <w:adjustRightInd w:val="0"/>
      <w:spacing w:line="360" w:lineRule="atLeast"/>
      <w:jc w:val="left"/>
    </w:pPr>
    <w:rPr>
      <w:rFonts w:ascii="Times New Roman" w:hAnsi="Times New Roman" w:eastAsia="宋体" w:cs="Times New Roman"/>
      <w:kern w:val="0"/>
      <w:sz w:val="21"/>
      <w:szCs w:val="20"/>
    </w:rPr>
  </w:style>
  <w:style w:type="paragraph" w:customStyle="1" w:styleId="76">
    <w:name w:val="result"/>
    <w:basedOn w:val="1"/>
    <w:qFormat/>
    <w:uiPriority w:val="99"/>
    <w:pPr>
      <w:adjustRightInd w:val="0"/>
      <w:spacing w:line="360" w:lineRule="atLeast"/>
      <w:jc w:val="left"/>
    </w:pPr>
    <w:rPr>
      <w:rFonts w:ascii="Times New Roman" w:hAnsi="Times New Roman" w:eastAsia="宋体" w:cs="Times New Roman"/>
      <w:kern w:val="0"/>
      <w:sz w:val="21"/>
      <w:szCs w:val="20"/>
    </w:rPr>
  </w:style>
  <w:style w:type="paragraph" w:customStyle="1" w:styleId="77">
    <w:name w:val="_Style 6"/>
    <w:basedOn w:val="1"/>
    <w:qFormat/>
    <w:uiPriority w:val="99"/>
    <w:pPr>
      <w:spacing w:line="360" w:lineRule="auto"/>
      <w:jc w:val="center"/>
    </w:pPr>
    <w:rPr>
      <w:rFonts w:ascii="Times New Roman" w:hAnsi="Times New Roman" w:eastAsia="宋体" w:cs="Times New Roman"/>
      <w:sz w:val="21"/>
      <w:szCs w:val="24"/>
    </w:rPr>
  </w:style>
  <w:style w:type="paragraph" w:customStyle="1" w:styleId="78">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79">
    <w:name w:val="附录表标题"/>
    <w:basedOn w:val="1"/>
    <w:next w:val="78"/>
    <w:qFormat/>
    <w:uiPriority w:val="99"/>
    <w:pPr>
      <w:numPr>
        <w:ilvl w:val="1"/>
        <w:numId w:val="1"/>
      </w:numPr>
      <w:tabs>
        <w:tab w:val="left" w:pos="180"/>
      </w:tabs>
      <w:spacing w:beforeLines="50"/>
      <w:ind w:left="0" w:firstLine="0"/>
      <w:jc w:val="center"/>
    </w:pPr>
    <w:rPr>
      <w:rFonts w:ascii="黑体" w:hAnsi="Times New Roman" w:eastAsia="黑体" w:cs="Times New Roman"/>
      <w:sz w:val="21"/>
      <w:szCs w:val="21"/>
    </w:rPr>
  </w:style>
  <w:style w:type="paragraph" w:customStyle="1" w:styleId="80">
    <w:name w:val="正文1"/>
    <w:qFormat/>
    <w:uiPriority w:val="99"/>
    <w:pPr>
      <w:jc w:val="both"/>
    </w:pPr>
    <w:rPr>
      <w:rFonts w:ascii="Times New Roman" w:hAnsi="Times New Roman" w:eastAsia="宋体" w:cs="Times New Roman"/>
      <w:kern w:val="2"/>
      <w:sz w:val="21"/>
      <w:szCs w:val="21"/>
      <w:lang w:val="en-US" w:eastAsia="zh-CN" w:bidi="ar-SA"/>
    </w:rPr>
  </w:style>
  <w:style w:type="paragraph" w:customStyle="1" w:styleId="81">
    <w:name w:val="附录图标题"/>
    <w:basedOn w:val="1"/>
    <w:next w:val="78"/>
    <w:qFormat/>
    <w:uiPriority w:val="99"/>
    <w:pPr>
      <w:numPr>
        <w:ilvl w:val="1"/>
        <w:numId w:val="2"/>
      </w:numPr>
      <w:tabs>
        <w:tab w:val="left" w:pos="363"/>
      </w:tabs>
      <w:spacing w:beforeLines="50"/>
      <w:ind w:left="0" w:firstLine="0"/>
      <w:jc w:val="center"/>
    </w:pPr>
    <w:rPr>
      <w:rFonts w:ascii="黑体" w:hAnsi="Times New Roman" w:eastAsia="黑体" w:cs="Times New Roman"/>
      <w:sz w:val="21"/>
      <w:szCs w:val="21"/>
    </w:rPr>
  </w:style>
  <w:style w:type="paragraph" w:customStyle="1" w:styleId="82">
    <w:name w:val="01-正文仿宋三号"/>
    <w:basedOn w:val="1"/>
    <w:qFormat/>
    <w:uiPriority w:val="99"/>
    <w:pPr>
      <w:ind w:firstLine="640"/>
    </w:pPr>
    <w:rPr>
      <w:rFonts w:cs="仿宋_GB2312"/>
    </w:rPr>
  </w:style>
  <w:style w:type="paragraph" w:customStyle="1" w:styleId="83">
    <w:name w:val="01-正文黑体三号"/>
    <w:basedOn w:val="4"/>
    <w:qFormat/>
    <w:uiPriority w:val="99"/>
  </w:style>
  <w:style w:type="paragraph" w:customStyle="1" w:styleId="84">
    <w:name w:val="01-正文楷体小四"/>
    <w:basedOn w:val="73"/>
    <w:qFormat/>
    <w:uiPriority w:val="99"/>
    <w:pPr>
      <w:spacing w:afterLines="50"/>
      <w:ind w:firstLine="480"/>
    </w:pPr>
  </w:style>
  <w:style w:type="paragraph" w:customStyle="1" w:styleId="85">
    <w:name w:val="02-表格仿宋小五居中"/>
    <w:basedOn w:val="1"/>
    <w:qFormat/>
    <w:uiPriority w:val="99"/>
    <w:pPr>
      <w:jc w:val="center"/>
    </w:pPr>
    <w:rPr>
      <w:rFonts w:ascii="宋体" w:hAnsi="宋体"/>
      <w:sz w:val="18"/>
      <w:szCs w:val="18"/>
    </w:rPr>
  </w:style>
  <w:style w:type="paragraph" w:customStyle="1" w:styleId="86">
    <w:name w:val="02-表格仿宋小五左对齐"/>
    <w:basedOn w:val="1"/>
    <w:qFormat/>
    <w:uiPriority w:val="99"/>
    <w:rPr>
      <w:rFonts w:ascii="宋体" w:hAnsi="宋体"/>
      <w:bCs/>
      <w:sz w:val="18"/>
      <w:szCs w:val="18"/>
    </w:rPr>
  </w:style>
  <w:style w:type="paragraph" w:customStyle="1" w:styleId="87">
    <w:name w:val="02-表格仿宋四号左对齐"/>
    <w:basedOn w:val="86"/>
    <w:qFormat/>
    <w:uiPriority w:val="99"/>
    <w:pPr>
      <w:adjustRightInd w:val="0"/>
      <w:snapToGrid w:val="0"/>
    </w:pPr>
    <w:rPr>
      <w:sz w:val="28"/>
      <w:szCs w:val="28"/>
    </w:rPr>
  </w:style>
  <w:style w:type="paragraph" w:customStyle="1" w:styleId="88">
    <w:name w:val="01-正文仿宋小五"/>
    <w:basedOn w:val="1"/>
    <w:qFormat/>
    <w:uiPriority w:val="99"/>
    <w:rPr>
      <w:rFonts w:ascii="宋体" w:hAnsi="宋体"/>
      <w:sz w:val="18"/>
      <w:szCs w:val="18"/>
    </w:rPr>
  </w:style>
  <w:style w:type="paragraph" w:customStyle="1" w:styleId="89">
    <w:name w:val="01-正文小标宋三号居中"/>
    <w:basedOn w:val="1"/>
    <w:qFormat/>
    <w:uiPriority w:val="99"/>
    <w:pPr>
      <w:jc w:val="center"/>
    </w:pPr>
    <w:rPr>
      <w:rFonts w:ascii="方正小标宋_GBK" w:eastAsia="方正小标宋_GBK"/>
    </w:rPr>
  </w:style>
  <w:style w:type="paragraph" w:customStyle="1" w:styleId="90">
    <w:name w:val="01-正文仿宋三号加粗"/>
    <w:basedOn w:val="65"/>
    <w:qFormat/>
    <w:uiPriority w:val="99"/>
    <w:pPr>
      <w:ind w:firstLine="640"/>
    </w:pPr>
    <w:rPr>
      <w:rFonts w:cs="仿宋_GB2312"/>
      <w:b/>
    </w:rPr>
  </w:style>
  <w:style w:type="paragraph" w:customStyle="1" w:styleId="91">
    <w:name w:val="01-正文四号"/>
    <w:basedOn w:val="1"/>
    <w:qFormat/>
    <w:uiPriority w:val="99"/>
    <w:rPr>
      <w:rFonts w:ascii="仿宋_GB2312" w:cs="Times New Roman"/>
      <w:sz w:val="28"/>
      <w:szCs w:val="30"/>
    </w:rPr>
  </w:style>
  <w:style w:type="character" w:customStyle="1" w:styleId="92">
    <w:name w:val="MM Title Char"/>
    <w:link w:val="93"/>
    <w:locked/>
    <w:uiPriority w:val="0"/>
    <w:rPr>
      <w:rFonts w:ascii="Cambria" w:hAnsi="Cambria" w:eastAsia="宋体" w:cs="Times New Roman"/>
      <w:b/>
      <w:bCs/>
      <w:sz w:val="32"/>
      <w:szCs w:val="32"/>
    </w:rPr>
  </w:style>
  <w:style w:type="paragraph" w:customStyle="1" w:styleId="93">
    <w:name w:val="MM Title"/>
    <w:basedOn w:val="29"/>
    <w:link w:val="92"/>
    <w:qFormat/>
    <w:uiPriority w:val="0"/>
    <w:pPr>
      <w:spacing w:before="240" w:after="60"/>
    </w:pPr>
    <w:rPr>
      <w:rFonts w:ascii="Cambria" w:hAnsi="Cambria" w:eastAsia="宋体"/>
      <w:b/>
      <w:bCs/>
      <w:w w:val="100"/>
      <w:kern w:val="2"/>
      <w:sz w:val="32"/>
      <w:szCs w:val="32"/>
    </w:rPr>
  </w:style>
  <w:style w:type="character" w:customStyle="1" w:styleId="94">
    <w:name w:val="MM Topic 1 Char"/>
    <w:link w:val="95"/>
    <w:locked/>
    <w:uiPriority w:val="0"/>
    <w:rPr>
      <w:rFonts w:ascii="Calibri" w:hAnsi="Calibri" w:eastAsia="宋体" w:cs="Times New Roman"/>
      <w:b/>
      <w:bCs/>
      <w:kern w:val="44"/>
      <w:sz w:val="44"/>
      <w:szCs w:val="44"/>
    </w:rPr>
  </w:style>
  <w:style w:type="paragraph" w:customStyle="1" w:styleId="95">
    <w:name w:val="MM Topic 1"/>
    <w:basedOn w:val="2"/>
    <w:link w:val="94"/>
    <w:qFormat/>
    <w:uiPriority w:val="0"/>
    <w:pPr>
      <w:keepNext/>
      <w:keepLines/>
      <w:spacing w:before="340" w:after="330" w:line="576" w:lineRule="auto"/>
      <w:jc w:val="both"/>
    </w:pPr>
    <w:rPr>
      <w:rFonts w:eastAsia="宋体"/>
      <w:b/>
      <w:bCs/>
      <w:w w:val="100"/>
    </w:rPr>
  </w:style>
  <w:style w:type="character" w:customStyle="1" w:styleId="96">
    <w:name w:val="MM Topic 2 Char"/>
    <w:link w:val="97"/>
    <w:locked/>
    <w:uiPriority w:val="0"/>
    <w:rPr>
      <w:rFonts w:ascii="Cambria" w:hAnsi="Cambria" w:eastAsia="宋体" w:cs="Times New Roman"/>
      <w:b/>
      <w:bCs/>
      <w:sz w:val="32"/>
      <w:szCs w:val="32"/>
    </w:rPr>
  </w:style>
  <w:style w:type="paragraph" w:customStyle="1" w:styleId="97">
    <w:name w:val="MM Topic 2"/>
    <w:basedOn w:val="3"/>
    <w:link w:val="96"/>
    <w:qFormat/>
    <w:uiPriority w:val="0"/>
    <w:pPr>
      <w:keepNext/>
      <w:keepLines/>
      <w:spacing w:before="260" w:after="260" w:line="415" w:lineRule="auto"/>
      <w:jc w:val="both"/>
    </w:pPr>
    <w:rPr>
      <w:rFonts w:ascii="Cambria" w:hAnsi="Cambria" w:eastAsia="宋体"/>
      <w:b/>
      <w:bCs/>
      <w:kern w:val="2"/>
      <w:sz w:val="32"/>
      <w:szCs w:val="32"/>
    </w:rPr>
  </w:style>
  <w:style w:type="character" w:customStyle="1" w:styleId="98">
    <w:name w:val="MM Topic 3 Char"/>
    <w:link w:val="99"/>
    <w:locked/>
    <w:uiPriority w:val="0"/>
    <w:rPr>
      <w:rFonts w:ascii="Calibri" w:hAnsi="Calibri" w:eastAsia="宋体" w:cs="Times New Roman"/>
      <w:b/>
      <w:bCs/>
      <w:sz w:val="32"/>
      <w:szCs w:val="32"/>
    </w:rPr>
  </w:style>
  <w:style w:type="paragraph" w:customStyle="1" w:styleId="99">
    <w:name w:val="MM Topic 3"/>
    <w:basedOn w:val="4"/>
    <w:link w:val="98"/>
    <w:qFormat/>
    <w:uiPriority w:val="0"/>
    <w:pPr>
      <w:keepNext/>
      <w:keepLines/>
      <w:numPr>
        <w:ilvl w:val="2"/>
        <w:numId w:val="3"/>
      </w:numPr>
      <w:tabs>
        <w:tab w:val="left" w:pos="360"/>
      </w:tabs>
      <w:spacing w:before="260" w:after="260" w:line="415" w:lineRule="auto"/>
      <w:ind w:firstLine="640"/>
    </w:pPr>
    <w:rPr>
      <w:rFonts w:eastAsia="宋体"/>
      <w:b/>
      <w:bCs/>
    </w:rPr>
  </w:style>
  <w:style w:type="paragraph" w:customStyle="1" w:styleId="100">
    <w:name w:val="01-正文小三"/>
    <w:basedOn w:val="1"/>
    <w:qFormat/>
    <w:uiPriority w:val="99"/>
    <w:rPr>
      <w:rFonts w:ascii="仿宋_GB2312" w:cs="Times New Roman"/>
      <w:sz w:val="30"/>
      <w:szCs w:val="30"/>
    </w:rPr>
  </w:style>
  <w:style w:type="paragraph" w:customStyle="1" w:styleId="101">
    <w:name w:val="02-表格仿宋四号居中"/>
    <w:basedOn w:val="87"/>
    <w:qFormat/>
    <w:uiPriority w:val="99"/>
    <w:pPr>
      <w:jc w:val="center"/>
    </w:pPr>
  </w:style>
  <w:style w:type="paragraph" w:customStyle="1" w:styleId="102">
    <w:name w:val="02-表格黑体四号居中"/>
    <w:basedOn w:val="101"/>
    <w:qFormat/>
    <w:uiPriority w:val="99"/>
    <w:rPr>
      <w:rFonts w:ascii="黑体" w:eastAsia="黑体"/>
    </w:rPr>
  </w:style>
  <w:style w:type="paragraph" w:customStyle="1" w:styleId="103">
    <w:name w:val="02-表格隶书小一居中"/>
    <w:basedOn w:val="101"/>
    <w:qFormat/>
    <w:uiPriority w:val="99"/>
    <w:rPr>
      <w:rFonts w:ascii="隶书" w:eastAsia="隶书"/>
      <w:sz w:val="48"/>
    </w:rPr>
  </w:style>
  <w:style w:type="paragraph" w:customStyle="1" w:styleId="104">
    <w:name w:val="02-表格黑体小二居中"/>
    <w:basedOn w:val="1"/>
    <w:qFormat/>
    <w:uiPriority w:val="99"/>
    <w:pPr>
      <w:adjustRightInd w:val="0"/>
      <w:snapToGrid w:val="0"/>
      <w:jc w:val="center"/>
    </w:pPr>
    <w:rPr>
      <w:rFonts w:ascii="黑体" w:eastAsia="黑体"/>
      <w:sz w:val="36"/>
      <w:szCs w:val="36"/>
    </w:rPr>
  </w:style>
  <w:style w:type="paragraph" w:customStyle="1" w:styleId="105">
    <w:name w:val="02-表格宋体五号左对齐"/>
    <w:basedOn w:val="1"/>
    <w:qFormat/>
    <w:uiPriority w:val="99"/>
    <w:pPr>
      <w:adjustRightInd w:val="0"/>
      <w:snapToGrid w:val="0"/>
      <w:jc w:val="left"/>
    </w:pPr>
    <w:rPr>
      <w:rFonts w:ascii="宋体" w:hAnsi="宋体" w:eastAsia="宋体"/>
      <w:spacing w:val="-10"/>
      <w:sz w:val="21"/>
      <w:szCs w:val="21"/>
    </w:rPr>
  </w:style>
  <w:style w:type="character" w:customStyle="1" w:styleId="106">
    <w:name w:val="00-正文宋体小四 Char"/>
    <w:link w:val="107"/>
    <w:locked/>
    <w:uiPriority w:val="0"/>
    <w:rPr>
      <w:rFonts w:ascii="宋体" w:hAnsi="宋体" w:eastAsia="宋体" w:cs="Times New Roman"/>
      <w:color w:val="333333"/>
      <w:kern w:val="0"/>
      <w:sz w:val="24"/>
      <w:szCs w:val="32"/>
    </w:rPr>
  </w:style>
  <w:style w:type="paragraph" w:customStyle="1" w:styleId="107">
    <w:name w:val="00-正文宋体小四"/>
    <w:basedOn w:val="1"/>
    <w:link w:val="106"/>
    <w:qFormat/>
    <w:uiPriority w:val="0"/>
    <w:pPr>
      <w:widowControl/>
      <w:adjustRightInd w:val="0"/>
      <w:snapToGrid w:val="0"/>
      <w:ind w:firstLine="200" w:firstLineChars="200"/>
    </w:pPr>
    <w:rPr>
      <w:rFonts w:ascii="宋体" w:hAnsi="宋体" w:eastAsia="宋体" w:cs="Times New Roman"/>
      <w:color w:val="333333"/>
      <w:kern w:val="0"/>
      <w:sz w:val="24"/>
    </w:rPr>
  </w:style>
  <w:style w:type="paragraph" w:customStyle="1" w:styleId="108">
    <w:name w:val="01-正文宋体四号"/>
    <w:basedOn w:val="107"/>
    <w:qFormat/>
    <w:uiPriority w:val="99"/>
    <w:pPr>
      <w:spacing w:beforeLines="50"/>
    </w:pPr>
    <w:rPr>
      <w:sz w:val="28"/>
    </w:rPr>
  </w:style>
  <w:style w:type="paragraph" w:customStyle="1" w:styleId="109">
    <w:name w:val="00-序号一级"/>
    <w:basedOn w:val="99"/>
    <w:qFormat/>
    <w:uiPriority w:val="99"/>
    <w:pPr>
      <w:adjustRightInd w:val="0"/>
      <w:snapToGrid w:val="0"/>
      <w:spacing w:before="0" w:beforeLines="50" w:after="0" w:afterLines="50" w:line="240" w:lineRule="auto"/>
      <w:jc w:val="left"/>
    </w:pPr>
    <w:rPr>
      <w:rFonts w:ascii="仿宋_GB2312" w:eastAsia="黑体"/>
      <w:b w:val="0"/>
      <w:sz w:val="28"/>
    </w:rPr>
  </w:style>
  <w:style w:type="paragraph" w:customStyle="1" w:styleId="110">
    <w:name w:val="00-序号三级"/>
    <w:basedOn w:val="107"/>
    <w:qFormat/>
    <w:uiPriority w:val="99"/>
    <w:pPr>
      <w:spacing w:beforeLines="10"/>
    </w:pPr>
  </w:style>
  <w:style w:type="paragraph" w:customStyle="1" w:styleId="111">
    <w:name w:val="00-序号二级"/>
    <w:basedOn w:val="109"/>
    <w:qFormat/>
    <w:uiPriority w:val="99"/>
    <w:pPr>
      <w:numPr>
        <w:ilvl w:val="0"/>
        <w:numId w:val="0"/>
      </w:numPr>
      <w:spacing w:beforeLines="10" w:afterLines="10"/>
      <w:ind w:firstLine="200" w:firstLineChars="200"/>
    </w:pPr>
    <w:rPr>
      <w:rFonts w:eastAsia="宋体"/>
      <w:b/>
      <w:sz w:val="24"/>
    </w:rPr>
  </w:style>
  <w:style w:type="paragraph" w:customStyle="1" w:styleId="112">
    <w:name w:val="00-序号章"/>
    <w:basedOn w:val="95"/>
    <w:qFormat/>
    <w:uiPriority w:val="99"/>
    <w:pPr>
      <w:numPr>
        <w:ilvl w:val="0"/>
        <w:numId w:val="3"/>
      </w:numPr>
      <w:tabs>
        <w:tab w:val="left" w:pos="360"/>
      </w:tabs>
      <w:adjustRightInd w:val="0"/>
      <w:snapToGrid w:val="0"/>
      <w:spacing w:before="0" w:beforeLines="100" w:after="0" w:afterLines="100" w:line="240" w:lineRule="auto"/>
      <w:jc w:val="center"/>
    </w:pPr>
    <w:rPr>
      <w:rFonts w:ascii="宋体" w:hAnsi="宋体"/>
      <w:sz w:val="36"/>
    </w:rPr>
  </w:style>
  <w:style w:type="paragraph" w:customStyle="1" w:styleId="113">
    <w:name w:val="00-序号节"/>
    <w:basedOn w:val="97"/>
    <w:qFormat/>
    <w:uiPriority w:val="99"/>
    <w:pPr>
      <w:numPr>
        <w:ilvl w:val="1"/>
        <w:numId w:val="3"/>
      </w:numPr>
      <w:tabs>
        <w:tab w:val="left" w:pos="360"/>
      </w:tabs>
      <w:adjustRightInd w:val="0"/>
      <w:snapToGrid w:val="0"/>
      <w:spacing w:before="0" w:beforeLines="100" w:after="0" w:afterLines="100" w:line="240" w:lineRule="auto"/>
      <w:jc w:val="center"/>
    </w:pPr>
    <w:rPr>
      <w:rFonts w:ascii="宋体" w:hAnsi="宋体"/>
    </w:rPr>
  </w:style>
  <w:style w:type="character" w:customStyle="1" w:styleId="114">
    <w:name w:val="00-序号四级 Char"/>
    <w:basedOn w:val="106"/>
    <w:link w:val="115"/>
    <w:locked/>
    <w:uiPriority w:val="0"/>
    <w:rPr>
      <w:rFonts w:ascii="宋体" w:hAnsi="宋体" w:eastAsia="宋体" w:cs="Times New Roman"/>
      <w:color w:val="333333"/>
      <w:kern w:val="0"/>
      <w:sz w:val="24"/>
      <w:szCs w:val="32"/>
    </w:rPr>
  </w:style>
  <w:style w:type="paragraph" w:customStyle="1" w:styleId="115">
    <w:name w:val="00-序号四级"/>
    <w:basedOn w:val="107"/>
    <w:link w:val="114"/>
    <w:qFormat/>
    <w:uiPriority w:val="0"/>
    <w:pPr>
      <w:spacing w:beforeLines="10"/>
    </w:pPr>
  </w:style>
  <w:style w:type="paragraph" w:customStyle="1" w:styleId="116">
    <w:name w:val="00-正文楷体小四"/>
    <w:basedOn w:val="73"/>
    <w:qFormat/>
    <w:uiPriority w:val="99"/>
    <w:pPr>
      <w:spacing w:afterLines="50"/>
      <w:ind w:firstLine="480"/>
    </w:pPr>
  </w:style>
  <w:style w:type="paragraph" w:customStyle="1" w:styleId="117">
    <w:name w:val="Char"/>
    <w:basedOn w:val="2"/>
    <w:qFormat/>
    <w:uiPriority w:val="99"/>
    <w:pPr>
      <w:keepNext/>
      <w:keepLines/>
      <w:snapToGrid w:val="0"/>
      <w:spacing w:before="240" w:after="240" w:line="348" w:lineRule="auto"/>
      <w:jc w:val="both"/>
    </w:pPr>
    <w:rPr>
      <w:rFonts w:ascii="Tahoma" w:hAnsi="Tahoma" w:eastAsia="宋体"/>
      <w:b/>
      <w:w w:val="100"/>
      <w:kern w:val="2"/>
      <w:sz w:val="24"/>
      <w:szCs w:val="20"/>
    </w:rPr>
  </w:style>
  <w:style w:type="character" w:customStyle="1" w:styleId="118">
    <w:name w:val="条 Char"/>
    <w:link w:val="119"/>
    <w:locked/>
    <w:uiPriority w:val="0"/>
    <w:rPr>
      <w:rFonts w:ascii="Times New Roman" w:hAnsi="Times New Roman" w:eastAsia="黑体" w:cs="Times New Roman"/>
      <w:sz w:val="24"/>
      <w:szCs w:val="24"/>
    </w:rPr>
  </w:style>
  <w:style w:type="paragraph" w:customStyle="1" w:styleId="119">
    <w:name w:val="条"/>
    <w:basedOn w:val="1"/>
    <w:link w:val="118"/>
    <w:qFormat/>
    <w:uiPriority w:val="0"/>
    <w:pPr>
      <w:spacing w:line="500" w:lineRule="exact"/>
      <w:ind w:firstLine="480" w:firstLineChars="200"/>
    </w:pPr>
    <w:rPr>
      <w:rFonts w:ascii="Times New Roman" w:hAnsi="Times New Roman" w:eastAsia="黑体" w:cs="Times New Roman"/>
      <w:sz w:val="24"/>
      <w:szCs w:val="24"/>
    </w:rPr>
  </w:style>
  <w:style w:type="character" w:customStyle="1" w:styleId="120">
    <w:name w:val="章 Char"/>
    <w:link w:val="121"/>
    <w:locked/>
    <w:uiPriority w:val="0"/>
    <w:rPr>
      <w:rFonts w:ascii="黑体" w:hAnsi="黑体" w:eastAsia="黑体" w:cs="Times New Roman"/>
      <w:bCs/>
      <w:sz w:val="30"/>
      <w:szCs w:val="32"/>
    </w:rPr>
  </w:style>
  <w:style w:type="paragraph" w:customStyle="1" w:styleId="121">
    <w:name w:val="章"/>
    <w:basedOn w:val="3"/>
    <w:link w:val="120"/>
    <w:qFormat/>
    <w:uiPriority w:val="0"/>
    <w:pPr>
      <w:keepNext/>
      <w:keepLines/>
      <w:spacing w:line="500" w:lineRule="exact"/>
    </w:pPr>
    <w:rPr>
      <w:rFonts w:ascii="黑体" w:hAnsi="黑体" w:eastAsia="黑体"/>
      <w:bCs/>
      <w:kern w:val="2"/>
      <w:sz w:val="30"/>
      <w:szCs w:val="32"/>
    </w:rPr>
  </w:style>
  <w:style w:type="paragraph" w:customStyle="1" w:styleId="122">
    <w:name w:val="02-表格宋体小四居中"/>
    <w:basedOn w:val="85"/>
    <w:qFormat/>
    <w:uiPriority w:val="99"/>
    <w:rPr>
      <w:rFonts w:eastAsia="宋体"/>
      <w:sz w:val="24"/>
      <w:lang w:val="zh-CN"/>
    </w:rPr>
  </w:style>
  <w:style w:type="paragraph" w:customStyle="1" w:styleId="123">
    <w:name w:val="Default"/>
    <w:qFormat/>
    <w:uiPriority w:val="99"/>
    <w:pPr>
      <w:widowControl w:val="0"/>
      <w:autoSpaceDE w:val="0"/>
      <w:autoSpaceDN w:val="0"/>
      <w:adjustRightInd w:val="0"/>
    </w:pPr>
    <w:rPr>
      <w:rFonts w:ascii="黑体" w:hAnsi="Times New Roman" w:eastAsia="黑体" w:cs="黑体"/>
      <w:color w:val="000000"/>
      <w:kern w:val="0"/>
      <w:sz w:val="24"/>
      <w:szCs w:val="24"/>
      <w:lang w:val="en-US" w:eastAsia="zh-CN" w:bidi="ar-SA"/>
    </w:rPr>
  </w:style>
  <w:style w:type="paragraph" w:customStyle="1" w:styleId="124">
    <w:name w:val="_Style 43"/>
    <w:basedOn w:val="1"/>
    <w:next w:val="1"/>
    <w:qFormat/>
    <w:uiPriority w:val="39"/>
    <w:pPr>
      <w:tabs>
        <w:tab w:val="right" w:leader="dot" w:pos="8296"/>
      </w:tabs>
      <w:spacing w:line="560" w:lineRule="exact"/>
      <w:ind w:left="1280" w:leftChars="400" w:firstLine="560" w:firstLineChars="200"/>
    </w:pPr>
    <w:rPr>
      <w:rFonts w:ascii="宋体" w:hAnsi="宋体" w:eastAsia="宋体" w:cs="宋体"/>
      <w:sz w:val="24"/>
      <w:szCs w:val="24"/>
    </w:rPr>
  </w:style>
  <w:style w:type="paragraph" w:customStyle="1" w:styleId="125">
    <w:name w:val="一级条标题"/>
    <w:next w:val="1"/>
    <w:qFormat/>
    <w:uiPriority w:val="99"/>
    <w:pPr>
      <w:numPr>
        <w:ilvl w:val="1"/>
        <w:numId w:val="4"/>
      </w:numPr>
      <w:spacing w:beforeLines="50"/>
      <w:outlineLvl w:val="2"/>
    </w:pPr>
    <w:rPr>
      <w:rFonts w:ascii="黑体" w:hAnsi="Times New Roman" w:eastAsia="黑体" w:cs="Times New Roman"/>
      <w:kern w:val="0"/>
      <w:sz w:val="21"/>
      <w:szCs w:val="21"/>
      <w:lang w:val="en-US" w:eastAsia="zh-CN" w:bidi="ar-SA"/>
    </w:rPr>
  </w:style>
  <w:style w:type="character" w:customStyle="1" w:styleId="126">
    <w:name w:val="000书名 Char"/>
    <w:link w:val="127"/>
    <w:locked/>
    <w:uiPriority w:val="0"/>
    <w:rPr>
      <w:rFonts w:ascii="方正小标宋_GBK" w:hAnsi="Cambria" w:eastAsia="方正小标宋_GBK" w:cs="Times New Roman"/>
      <w:bCs/>
      <w:color w:val="000000"/>
      <w:sz w:val="72"/>
      <w:szCs w:val="32"/>
    </w:rPr>
  </w:style>
  <w:style w:type="paragraph" w:customStyle="1" w:styleId="127">
    <w:name w:val="000书名"/>
    <w:basedOn w:val="93"/>
    <w:link w:val="126"/>
    <w:qFormat/>
    <w:uiPriority w:val="0"/>
    <w:pPr>
      <w:adjustRightInd w:val="0"/>
      <w:snapToGrid w:val="0"/>
      <w:spacing w:before="0" w:after="0"/>
      <w:outlineLvl w:val="9"/>
    </w:pPr>
    <w:rPr>
      <w:rFonts w:ascii="方正小标宋_GBK" w:eastAsia="方正小标宋_GBK"/>
      <w:b w:val="0"/>
      <w:color w:val="000000"/>
      <w:sz w:val="72"/>
    </w:rPr>
  </w:style>
  <w:style w:type="character" w:customStyle="1" w:styleId="128">
    <w:name w:val="001标题一级 Char"/>
    <w:link w:val="129"/>
    <w:locked/>
    <w:uiPriority w:val="0"/>
    <w:rPr>
      <w:rFonts w:ascii="方正小标宋简体" w:hAnsi="黑体" w:eastAsia="方正小标宋简体" w:cs="Times New Roman"/>
      <w:bCs/>
      <w:color w:val="000000"/>
      <w:kern w:val="44"/>
      <w:sz w:val="44"/>
      <w:szCs w:val="44"/>
    </w:rPr>
  </w:style>
  <w:style w:type="paragraph" w:customStyle="1" w:styleId="129">
    <w:name w:val="001标题一级"/>
    <w:basedOn w:val="95"/>
    <w:link w:val="128"/>
    <w:qFormat/>
    <w:uiPriority w:val="0"/>
    <w:pPr>
      <w:adjustRightInd w:val="0"/>
      <w:snapToGrid w:val="0"/>
      <w:spacing w:before="0" w:beforeLines="50" w:after="0" w:afterLines="50" w:line="460" w:lineRule="exact"/>
      <w:ind w:firstLine="49" w:firstLineChars="49"/>
      <w:jc w:val="center"/>
    </w:pPr>
    <w:rPr>
      <w:rFonts w:ascii="方正小标宋简体" w:hAnsi="黑体" w:eastAsia="方正小标宋简体"/>
      <w:b w:val="0"/>
      <w:color w:val="000000"/>
    </w:rPr>
  </w:style>
  <w:style w:type="character" w:customStyle="1" w:styleId="130">
    <w:name w:val="010 Char"/>
    <w:link w:val="131"/>
    <w:locked/>
    <w:uiPriority w:val="0"/>
    <w:rPr>
      <w:rFonts w:ascii="黑体" w:hAnsi="黑体" w:eastAsia="黑体" w:cs="Times New Roman"/>
      <w:bCs/>
      <w:color w:val="000000"/>
      <w:w w:val="80"/>
      <w:sz w:val="28"/>
      <w:szCs w:val="28"/>
    </w:rPr>
  </w:style>
  <w:style w:type="paragraph" w:customStyle="1" w:styleId="131">
    <w:name w:val="010"/>
    <w:basedOn w:val="6"/>
    <w:link w:val="130"/>
    <w:qFormat/>
    <w:uiPriority w:val="0"/>
    <w:pPr>
      <w:spacing w:line="520" w:lineRule="exact"/>
      <w:ind w:firstLine="644" w:firstLineChars="230"/>
      <w:jc w:val="left"/>
    </w:pPr>
    <w:rPr>
      <w:rFonts w:ascii="黑体" w:hAnsi="黑体" w:eastAsia="黑体"/>
      <w:b w:val="0"/>
      <w:color w:val="000000"/>
      <w:w w:val="80"/>
      <w:sz w:val="28"/>
      <w:szCs w:val="28"/>
    </w:rPr>
  </w:style>
  <w:style w:type="character" w:customStyle="1" w:styleId="132">
    <w:name w:val="样式7 Char"/>
    <w:link w:val="133"/>
    <w:locked/>
    <w:uiPriority w:val="0"/>
    <w:rPr>
      <w:rFonts w:ascii="楷体" w:hAnsi="楷体" w:eastAsia="楷体" w:cs="Times New Roman"/>
      <w:bCs/>
      <w:color w:val="000000"/>
      <w:sz w:val="28"/>
      <w:szCs w:val="28"/>
    </w:rPr>
  </w:style>
  <w:style w:type="paragraph" w:customStyle="1" w:styleId="133">
    <w:name w:val="样式7"/>
    <w:basedOn w:val="7"/>
    <w:link w:val="132"/>
    <w:qFormat/>
    <w:uiPriority w:val="0"/>
    <w:pPr>
      <w:ind w:firstLine="560" w:firstLineChars="200"/>
      <w:jc w:val="left"/>
    </w:pPr>
    <w:rPr>
      <w:rFonts w:ascii="楷体" w:hAnsi="楷体" w:eastAsia="楷体"/>
      <w:bCs/>
      <w:color w:val="000000"/>
      <w:sz w:val="28"/>
      <w:szCs w:val="28"/>
    </w:rPr>
  </w:style>
  <w:style w:type="character" w:customStyle="1" w:styleId="134">
    <w:name w:val="002标题二级 Char"/>
    <w:link w:val="135"/>
    <w:locked/>
    <w:uiPriority w:val="0"/>
    <w:rPr>
      <w:rFonts w:ascii="方正小标宋简体" w:hAnsi="Calibri" w:eastAsia="方正小标宋简体" w:cs="Times New Roman"/>
      <w:kern w:val="44"/>
      <w:sz w:val="36"/>
      <w:szCs w:val="36"/>
    </w:rPr>
  </w:style>
  <w:style w:type="paragraph" w:customStyle="1" w:styleId="135">
    <w:name w:val="002标题二级"/>
    <w:basedOn w:val="3"/>
    <w:link w:val="134"/>
    <w:qFormat/>
    <w:uiPriority w:val="0"/>
    <w:pPr>
      <w:numPr>
        <w:ilvl w:val="1"/>
        <w:numId w:val="5"/>
      </w:numPr>
      <w:tabs>
        <w:tab w:val="left" w:pos="360"/>
      </w:tabs>
      <w:spacing w:line="480" w:lineRule="auto"/>
      <w:ind w:left="0" w:firstLine="0"/>
      <w:jc w:val="left"/>
    </w:pPr>
    <w:rPr>
      <w:rFonts w:ascii="方正小标宋简体"/>
      <w:sz w:val="36"/>
      <w:szCs w:val="36"/>
    </w:rPr>
  </w:style>
  <w:style w:type="character" w:customStyle="1" w:styleId="136">
    <w:name w:val="004标题四级 Char"/>
    <w:link w:val="137"/>
    <w:locked/>
    <w:uiPriority w:val="0"/>
    <w:rPr>
      <w:rFonts w:ascii="宋体" w:hAnsi="宋体" w:eastAsia="黑体" w:cs="Times New Roman"/>
      <w:b/>
      <w:sz w:val="28"/>
      <w:szCs w:val="32"/>
    </w:rPr>
  </w:style>
  <w:style w:type="paragraph" w:customStyle="1" w:styleId="137">
    <w:name w:val="004标题四级"/>
    <w:basedOn w:val="4"/>
    <w:link w:val="136"/>
    <w:qFormat/>
    <w:uiPriority w:val="0"/>
    <w:pPr>
      <w:spacing w:beforeLines="50"/>
      <w:ind w:firstLine="0"/>
      <w:jc w:val="left"/>
    </w:pPr>
    <w:rPr>
      <w:rFonts w:ascii="宋体" w:hAnsi="宋体"/>
      <w:b/>
      <w:sz w:val="28"/>
    </w:rPr>
  </w:style>
  <w:style w:type="character" w:customStyle="1" w:styleId="138">
    <w:name w:val="样式8 Char"/>
    <w:basedOn w:val="136"/>
    <w:link w:val="139"/>
    <w:locked/>
    <w:uiPriority w:val="0"/>
    <w:rPr>
      <w:rFonts w:ascii="宋体" w:hAnsi="宋体" w:eastAsia="黑体" w:cs="Times New Roman"/>
      <w:sz w:val="28"/>
      <w:szCs w:val="32"/>
    </w:rPr>
  </w:style>
  <w:style w:type="paragraph" w:customStyle="1" w:styleId="139">
    <w:name w:val="样式8"/>
    <w:basedOn w:val="137"/>
    <w:link w:val="138"/>
    <w:qFormat/>
    <w:uiPriority w:val="0"/>
  </w:style>
  <w:style w:type="character" w:customStyle="1" w:styleId="140">
    <w:name w:val="样式9 Char"/>
    <w:link w:val="141"/>
    <w:locked/>
    <w:uiPriority w:val="0"/>
    <w:rPr>
      <w:rFonts w:ascii="宋体" w:hAnsi="宋体" w:eastAsia="仿宋_GB2312" w:cs="Times New Roman"/>
      <w:sz w:val="28"/>
      <w:szCs w:val="32"/>
    </w:rPr>
  </w:style>
  <w:style w:type="paragraph" w:customStyle="1" w:styleId="141">
    <w:name w:val="样式9"/>
    <w:basedOn w:val="139"/>
    <w:link w:val="140"/>
    <w:qFormat/>
    <w:uiPriority w:val="0"/>
    <w:pPr>
      <w:spacing w:afterLines="50"/>
    </w:pPr>
    <w:rPr>
      <w:rFonts w:eastAsia="仿宋_GB2312"/>
      <w:b w:val="0"/>
    </w:rPr>
  </w:style>
  <w:style w:type="character" w:customStyle="1" w:styleId="142">
    <w:name w:val="样式10 Char"/>
    <w:link w:val="143"/>
    <w:locked/>
    <w:uiPriority w:val="0"/>
    <w:rPr>
      <w:rFonts w:ascii="宋体" w:hAnsi="宋体" w:eastAsia="仿宋_GB2312" w:cs="Times New Roman"/>
      <w:b/>
      <w:sz w:val="28"/>
      <w:szCs w:val="32"/>
    </w:rPr>
  </w:style>
  <w:style w:type="paragraph" w:customStyle="1" w:styleId="143">
    <w:name w:val="样式10"/>
    <w:basedOn w:val="141"/>
    <w:link w:val="142"/>
    <w:qFormat/>
    <w:uiPriority w:val="0"/>
    <w:rPr>
      <w:b/>
    </w:rPr>
  </w:style>
  <w:style w:type="character" w:customStyle="1" w:styleId="144">
    <w:name w:val="样式11 Char"/>
    <w:link w:val="145"/>
    <w:locked/>
    <w:uiPriority w:val="0"/>
    <w:rPr>
      <w:rFonts w:ascii="宋体" w:hAnsi="宋体" w:eastAsia="仿宋" w:cs="Times New Roman"/>
      <w:b/>
      <w:sz w:val="28"/>
      <w:szCs w:val="32"/>
    </w:rPr>
  </w:style>
  <w:style w:type="paragraph" w:customStyle="1" w:styleId="145">
    <w:name w:val="样式11"/>
    <w:basedOn w:val="143"/>
    <w:link w:val="144"/>
    <w:qFormat/>
    <w:uiPriority w:val="0"/>
    <w:rPr>
      <w:rFonts w:eastAsia="仿宋"/>
    </w:rPr>
  </w:style>
  <w:style w:type="character" w:customStyle="1" w:styleId="146">
    <w:name w:val="样式12 Char"/>
    <w:link w:val="147"/>
    <w:locked/>
    <w:uiPriority w:val="0"/>
    <w:rPr>
      <w:rFonts w:ascii="黑体" w:hAnsi="黑体" w:eastAsia="黑体" w:cs="Times New Roman"/>
      <w:color w:val="333333"/>
      <w:kern w:val="0"/>
      <w:sz w:val="32"/>
      <w:szCs w:val="32"/>
    </w:rPr>
  </w:style>
  <w:style w:type="paragraph" w:customStyle="1" w:styleId="147">
    <w:name w:val="样式12"/>
    <w:basedOn w:val="115"/>
    <w:link w:val="146"/>
    <w:qFormat/>
    <w:uiPriority w:val="0"/>
    <w:pPr>
      <w:ind w:firstLine="0" w:firstLineChars="0"/>
    </w:pPr>
    <w:rPr>
      <w:rFonts w:ascii="黑体" w:hAnsi="黑体" w:eastAsia="黑体"/>
      <w:sz w:val="32"/>
    </w:rPr>
  </w:style>
  <w:style w:type="character" w:customStyle="1" w:styleId="148">
    <w:name w:val="003标题三级 Char"/>
    <w:link w:val="149"/>
    <w:locked/>
    <w:uiPriority w:val="0"/>
    <w:rPr>
      <w:rFonts w:ascii="方正小标宋简体" w:hAnsi="Calibri" w:eastAsia="黑体" w:cs="Times New Roman"/>
      <w:kern w:val="44"/>
      <w:sz w:val="32"/>
      <w:szCs w:val="48"/>
    </w:rPr>
  </w:style>
  <w:style w:type="paragraph" w:customStyle="1" w:styleId="149">
    <w:name w:val="003标题三级"/>
    <w:basedOn w:val="29"/>
    <w:link w:val="148"/>
    <w:qFormat/>
    <w:uiPriority w:val="0"/>
    <w:pPr>
      <w:spacing w:before="156" w:after="156"/>
      <w:jc w:val="left"/>
    </w:pPr>
    <w:rPr>
      <w:rFonts w:eastAsia="黑体"/>
      <w:w w:val="100"/>
      <w:sz w:val="32"/>
    </w:rPr>
  </w:style>
  <w:style w:type="character" w:customStyle="1" w:styleId="150">
    <w:name w:val="002 Char"/>
    <w:link w:val="151"/>
    <w:locked/>
    <w:uiPriority w:val="0"/>
    <w:rPr>
      <w:rFonts w:ascii="方正小标宋简体" w:eastAsia="方正小标宋简体" w:cs="Calibri"/>
      <w:kern w:val="44"/>
      <w:sz w:val="36"/>
      <w:szCs w:val="36"/>
    </w:rPr>
  </w:style>
  <w:style w:type="paragraph" w:customStyle="1" w:styleId="151">
    <w:name w:val="002"/>
    <w:basedOn w:val="3"/>
    <w:link w:val="150"/>
    <w:qFormat/>
    <w:uiPriority w:val="0"/>
    <w:pPr>
      <w:tabs>
        <w:tab w:val="left" w:pos="312"/>
      </w:tabs>
      <w:spacing w:line="480" w:lineRule="auto"/>
    </w:pPr>
    <w:rPr>
      <w:rFonts w:ascii="方正小标宋简体" w:cs="Calibri" w:hAnsiTheme="minorHAnsi"/>
      <w:sz w:val="36"/>
      <w:szCs w:val="36"/>
    </w:rPr>
  </w:style>
  <w:style w:type="paragraph" w:customStyle="1" w:styleId="152">
    <w:name w:val="_Style 46"/>
    <w:basedOn w:val="1"/>
    <w:next w:val="1"/>
    <w:qFormat/>
    <w:uiPriority w:val="39"/>
    <w:pPr>
      <w:tabs>
        <w:tab w:val="right" w:leader="dot" w:pos="8296"/>
      </w:tabs>
      <w:spacing w:line="560" w:lineRule="exact"/>
      <w:ind w:left="1280" w:leftChars="400" w:firstLine="560" w:firstLineChars="200"/>
    </w:pPr>
    <w:rPr>
      <w:rFonts w:ascii="宋体" w:hAnsi="宋体" w:eastAsia="宋体" w:cs="宋体"/>
      <w:sz w:val="24"/>
      <w:szCs w:val="24"/>
    </w:rPr>
  </w:style>
  <w:style w:type="character" w:customStyle="1" w:styleId="153">
    <w:name w:val="000 Char"/>
    <w:link w:val="154"/>
    <w:locked/>
    <w:uiPriority w:val="0"/>
    <w:rPr>
      <w:rFonts w:ascii="方正小标宋_GBK" w:hAnsi="Cambria" w:eastAsia="方正小标宋_GBK"/>
      <w:bCs/>
      <w:color w:val="000000"/>
      <w:sz w:val="72"/>
      <w:szCs w:val="32"/>
    </w:rPr>
  </w:style>
  <w:style w:type="paragraph" w:customStyle="1" w:styleId="154">
    <w:name w:val="000"/>
    <w:basedOn w:val="93"/>
    <w:link w:val="153"/>
    <w:qFormat/>
    <w:uiPriority w:val="0"/>
    <w:pPr>
      <w:adjustRightInd w:val="0"/>
      <w:snapToGrid w:val="0"/>
      <w:spacing w:before="0" w:after="0"/>
      <w:outlineLvl w:val="9"/>
    </w:pPr>
    <w:rPr>
      <w:rFonts w:ascii="方正小标宋_GBK" w:eastAsia="方正小标宋_GBK" w:cstheme="minorBidi"/>
      <w:b w:val="0"/>
      <w:color w:val="000000"/>
      <w:sz w:val="72"/>
    </w:rPr>
  </w:style>
  <w:style w:type="character" w:customStyle="1" w:styleId="155">
    <w:name w:val="001 Char"/>
    <w:link w:val="156"/>
    <w:locked/>
    <w:uiPriority w:val="0"/>
    <w:rPr>
      <w:rFonts w:ascii="方正小标宋简体" w:hAnsi="黑体" w:eastAsia="方正小标宋简体"/>
      <w:bCs/>
      <w:color w:val="000000"/>
      <w:kern w:val="44"/>
      <w:sz w:val="44"/>
      <w:szCs w:val="44"/>
    </w:rPr>
  </w:style>
  <w:style w:type="paragraph" w:customStyle="1" w:styleId="156">
    <w:name w:val="001"/>
    <w:basedOn w:val="95"/>
    <w:link w:val="155"/>
    <w:qFormat/>
    <w:uiPriority w:val="0"/>
    <w:pPr>
      <w:adjustRightInd w:val="0"/>
      <w:snapToGrid w:val="0"/>
      <w:spacing w:before="0" w:beforeLines="50" w:after="0" w:afterLines="50" w:line="460" w:lineRule="exact"/>
      <w:ind w:firstLine="49" w:firstLineChars="49"/>
      <w:jc w:val="center"/>
    </w:pPr>
    <w:rPr>
      <w:rFonts w:ascii="方正小标宋简体" w:hAnsi="黑体" w:eastAsia="方正小标宋简体" w:cstheme="minorBidi"/>
      <w:b w:val="0"/>
      <w:color w:val="000000"/>
    </w:rPr>
  </w:style>
  <w:style w:type="character" w:customStyle="1" w:styleId="157">
    <w:name w:val="003 Char"/>
    <w:link w:val="158"/>
    <w:locked/>
    <w:uiPriority w:val="0"/>
    <w:rPr>
      <w:rFonts w:ascii="宋体" w:hAnsi="宋体" w:eastAsia="黑体" w:cs="黑体"/>
      <w:b/>
      <w:sz w:val="28"/>
      <w:szCs w:val="32"/>
    </w:rPr>
  </w:style>
  <w:style w:type="paragraph" w:customStyle="1" w:styleId="158">
    <w:name w:val="003"/>
    <w:basedOn w:val="4"/>
    <w:link w:val="157"/>
    <w:qFormat/>
    <w:uiPriority w:val="0"/>
    <w:pPr>
      <w:spacing w:beforeLines="50"/>
      <w:ind w:firstLine="0"/>
      <w:jc w:val="left"/>
    </w:pPr>
    <w:rPr>
      <w:rFonts w:ascii="宋体" w:hAnsi="宋体" w:cs="黑体"/>
      <w:b/>
      <w:sz w:val="28"/>
    </w:rPr>
  </w:style>
  <w:style w:type="paragraph" w:customStyle="1" w:styleId="159">
    <w:name w:val="章标题"/>
    <w:next w:val="78"/>
    <w:qFormat/>
    <w:uiPriority w:val="99"/>
    <w:pPr>
      <w:spacing w:beforeLines="100"/>
      <w:jc w:val="both"/>
      <w:outlineLvl w:val="1"/>
    </w:pPr>
    <w:rPr>
      <w:rFonts w:ascii="黑体" w:hAnsi="Times New Roman" w:eastAsia="黑体" w:cs="Times New Roman"/>
      <w:kern w:val="0"/>
      <w:sz w:val="21"/>
      <w:szCs w:val="20"/>
      <w:lang w:val="en-US" w:eastAsia="zh-CN" w:bidi="ar-SA"/>
    </w:rPr>
  </w:style>
  <w:style w:type="character" w:customStyle="1" w:styleId="160">
    <w:name w:val="标题 1 Char1"/>
    <w:link w:val="2"/>
    <w:locked/>
    <w:uiPriority w:val="99"/>
    <w:rPr>
      <w:rFonts w:ascii="Calibri" w:hAnsi="Calibri" w:eastAsia="方正小标宋简体" w:cs="Times New Roman"/>
      <w:w w:val="80"/>
      <w:kern w:val="44"/>
      <w:sz w:val="44"/>
      <w:szCs w:val="44"/>
    </w:rPr>
  </w:style>
  <w:style w:type="character" w:customStyle="1" w:styleId="161">
    <w:name w:val="标题 2 Char1"/>
    <w:link w:val="3"/>
    <w:semiHidden/>
    <w:locked/>
    <w:uiPriority w:val="99"/>
    <w:rPr>
      <w:rFonts w:ascii="Calibri" w:hAnsi="Calibri" w:eastAsia="方正小标宋简体" w:cs="Times New Roman"/>
      <w:kern w:val="44"/>
      <w:sz w:val="44"/>
      <w:szCs w:val="44"/>
    </w:rPr>
  </w:style>
  <w:style w:type="character" w:customStyle="1" w:styleId="162">
    <w:name w:val="标题 3 Char1"/>
    <w:link w:val="4"/>
    <w:semiHidden/>
    <w:locked/>
    <w:uiPriority w:val="9"/>
    <w:rPr>
      <w:rFonts w:ascii="Calibri" w:hAnsi="Calibri" w:eastAsia="黑体" w:cs="Times New Roman"/>
      <w:sz w:val="32"/>
      <w:szCs w:val="32"/>
    </w:rPr>
  </w:style>
  <w:style w:type="character" w:customStyle="1" w:styleId="163">
    <w:name w:val="标题 4 Char1"/>
    <w:link w:val="5"/>
    <w:semiHidden/>
    <w:locked/>
    <w:uiPriority w:val="99"/>
    <w:rPr>
      <w:rFonts w:ascii="Calibri Light" w:hAnsi="Calibri Light" w:eastAsia="楷体_GB2312" w:cs="Times New Roman"/>
      <w:b/>
      <w:bCs/>
      <w:kern w:val="0"/>
      <w:sz w:val="28"/>
      <w:szCs w:val="28"/>
    </w:rPr>
  </w:style>
  <w:style w:type="character" w:customStyle="1" w:styleId="164">
    <w:name w:val="页眉 Char1"/>
    <w:locked/>
    <w:uiPriority w:val="99"/>
    <w:rPr>
      <w:rFonts w:hint="default" w:ascii="Times New Roman" w:hAnsi="Times New Roman" w:cs="Times New Roman"/>
      <w:sz w:val="18"/>
      <w:szCs w:val="18"/>
    </w:rPr>
  </w:style>
  <w:style w:type="character" w:customStyle="1" w:styleId="165">
    <w:name w:val="页脚 Char1"/>
    <w:locked/>
    <w:uiPriority w:val="99"/>
    <w:rPr>
      <w:rFonts w:hint="default" w:ascii="Times New Roman" w:hAnsi="Times New Roman" w:cs="Times New Roman"/>
      <w:sz w:val="18"/>
      <w:szCs w:val="18"/>
    </w:rPr>
  </w:style>
  <w:style w:type="character" w:customStyle="1" w:styleId="166">
    <w:name w:val="批注文字 Char1"/>
    <w:link w:val="12"/>
    <w:semiHidden/>
    <w:locked/>
    <w:uiPriority w:val="99"/>
    <w:rPr>
      <w:rFonts w:ascii="Calibri" w:hAnsi="Calibri" w:eastAsia="宋体" w:cs="Times New Roman"/>
      <w:kern w:val="0"/>
      <w:sz w:val="20"/>
      <w:szCs w:val="20"/>
    </w:rPr>
  </w:style>
  <w:style w:type="character" w:customStyle="1" w:styleId="167">
    <w:name w:val="批注主题 Char1"/>
    <w:link w:val="30"/>
    <w:semiHidden/>
    <w:locked/>
    <w:uiPriority w:val="99"/>
    <w:rPr>
      <w:rFonts w:ascii="Calibri" w:hAnsi="Calibri" w:eastAsia="宋体" w:cs="Times New Roman"/>
      <w:b/>
      <w:bCs/>
      <w:kern w:val="0"/>
      <w:sz w:val="20"/>
      <w:szCs w:val="20"/>
    </w:rPr>
  </w:style>
  <w:style w:type="character" w:customStyle="1" w:styleId="168">
    <w:name w:val="批注框文本 Char1"/>
    <w:link w:val="19"/>
    <w:semiHidden/>
    <w:locked/>
    <w:uiPriority w:val="99"/>
    <w:rPr>
      <w:rFonts w:ascii="Calibri" w:hAnsi="Calibri" w:eastAsia="宋体" w:cs="Times New Roman"/>
      <w:kern w:val="0"/>
      <w:sz w:val="18"/>
      <w:szCs w:val="18"/>
    </w:rPr>
  </w:style>
  <w:style w:type="character" w:customStyle="1" w:styleId="169">
    <w:name w:val="last-child1"/>
    <w:uiPriority w:val="0"/>
  </w:style>
  <w:style w:type="character" w:customStyle="1" w:styleId="170">
    <w:name w:val="active"/>
    <w:uiPriority w:val="0"/>
    <w:rPr>
      <w:color w:val="FFFFFF"/>
      <w:shd w:val="clear" w:color="auto" w:fill="F66262"/>
    </w:rPr>
  </w:style>
  <w:style w:type="character" w:customStyle="1" w:styleId="171">
    <w:name w:val="result3"/>
    <w:uiPriority w:val="0"/>
  </w:style>
  <w:style w:type="character" w:customStyle="1" w:styleId="172">
    <w:name w:val="result_high_light"/>
    <w:uiPriority w:val="0"/>
    <w:rPr>
      <w:color w:val="D8453B"/>
    </w:rPr>
  </w:style>
  <w:style w:type="paragraph" w:customStyle="1" w:styleId="173">
    <w:name w:val="二级条标题"/>
    <w:basedOn w:val="125"/>
    <w:next w:val="1"/>
    <w:qFormat/>
    <w:uiPriority w:val="99"/>
    <w:pPr>
      <w:numPr>
        <w:ilvl w:val="2"/>
      </w:numPr>
      <w:spacing w:afterLines="50"/>
      <w:outlineLvl w:val="3"/>
    </w:pPr>
  </w:style>
  <w:style w:type="paragraph" w:customStyle="1" w:styleId="174">
    <w:name w:val="二级无"/>
    <w:basedOn w:val="173"/>
    <w:qFormat/>
    <w:uiPriority w:val="99"/>
    <w:pPr>
      <w:numPr>
        <w:numId w:val="1"/>
      </w:numPr>
      <w:tabs>
        <w:tab w:val="left" w:pos="993"/>
      </w:tabs>
      <w:spacing w:before="50" w:beforeLines="0" w:after="50" w:afterLines="0"/>
    </w:pPr>
    <w:rPr>
      <w:rFonts w:ascii="宋体" w:eastAsia="宋体"/>
    </w:rPr>
  </w:style>
  <w:style w:type="paragraph" w:customStyle="1" w:styleId="175">
    <w:name w:val="三级条标题"/>
    <w:basedOn w:val="173"/>
    <w:next w:val="1"/>
    <w:qFormat/>
    <w:uiPriority w:val="99"/>
    <w:pPr>
      <w:numPr>
        <w:ilvl w:val="3"/>
      </w:numPr>
      <w:outlineLvl w:val="4"/>
    </w:pPr>
  </w:style>
  <w:style w:type="paragraph" w:customStyle="1" w:styleId="176">
    <w:name w:val="三级无"/>
    <w:basedOn w:val="175"/>
    <w:qFormat/>
    <w:uiPriority w:val="99"/>
    <w:pPr>
      <w:spacing w:before="50" w:beforeLines="0" w:after="50" w:afterLines="0"/>
    </w:pPr>
    <w:rPr>
      <w:rFonts w:ascii="宋体" w:eastAsia="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1710</Words>
  <Characters>9752</Characters>
  <Lines>81</Lines>
  <Paragraphs>22</Paragraphs>
  <TotalTime>1008</TotalTime>
  <ScaleCrop>false</ScaleCrop>
  <LinksUpToDate>false</LinksUpToDate>
  <CharactersWithSpaces>11440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2021-05-17T10:25:00Z</dcterms:created>
  <dc:creator>上海局文秘</dc:creator>
  <cp:lastModifiedBy>dong</cp:lastModifiedBy>
  <dcterms:modified xsi:type="dcterms:W3CDTF">2021-11-01T07:41:21Z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6ECBDA58CAFB45BF88BCB3FC745F35AB</vt:lpwstr>
  </property>
</Properties>
</file>